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3D3C" w14:textId="77777777" w:rsidR="00CC4654" w:rsidRPr="00CC1AE2" w:rsidRDefault="00D04C42" w:rsidP="00DA1F62">
      <w:pPr>
        <w:pStyle w:val="Heading1"/>
        <w:spacing w:before="0"/>
        <w:rPr>
          <w:rFonts w:asciiTheme="minorHAnsi" w:hAnsiTheme="minorHAnsi"/>
          <w:color w:val="4F81BD" w:themeColor="accent1"/>
          <w:sz w:val="32"/>
          <w:szCs w:val="32"/>
        </w:rPr>
      </w:pPr>
      <w:r w:rsidRPr="00CC1AE2">
        <w:rPr>
          <w:rFonts w:asciiTheme="minorHAnsi" w:hAnsiTheme="minorHAnsi"/>
          <w:color w:val="4F81BD" w:themeColor="accent1"/>
          <w:sz w:val="32"/>
          <w:szCs w:val="32"/>
        </w:rPr>
        <w:t xml:space="preserve">Catering </w:t>
      </w:r>
      <w:r w:rsidR="00F147B4">
        <w:rPr>
          <w:rFonts w:asciiTheme="minorHAnsi" w:hAnsiTheme="minorHAnsi"/>
          <w:color w:val="4F81BD" w:themeColor="accent1"/>
          <w:sz w:val="32"/>
          <w:szCs w:val="32"/>
        </w:rPr>
        <w:t>g</w:t>
      </w:r>
      <w:r w:rsidRPr="00CC1AE2">
        <w:rPr>
          <w:rFonts w:asciiTheme="minorHAnsi" w:hAnsiTheme="minorHAnsi"/>
          <w:color w:val="4F81BD" w:themeColor="accent1"/>
          <w:sz w:val="32"/>
          <w:szCs w:val="32"/>
        </w:rPr>
        <w:t>uidelines</w:t>
      </w:r>
    </w:p>
    <w:p w14:paraId="639CDBC5" w14:textId="3EF71B98" w:rsidR="00F3214A" w:rsidRPr="003E046E" w:rsidRDefault="000E061A" w:rsidP="004831F4">
      <w:pPr>
        <w:pStyle w:val="ListParagraph"/>
        <w:numPr>
          <w:ilvl w:val="0"/>
          <w:numId w:val="2"/>
        </w:numPr>
        <w:spacing w:after="0"/>
        <w:ind w:left="284" w:hanging="284"/>
      </w:pPr>
      <w:r w:rsidRPr="003E046E">
        <w:t xml:space="preserve">Delegates must use judgement in determining </w:t>
      </w:r>
      <w:r w:rsidR="00F3214A" w:rsidRPr="003E046E">
        <w:t xml:space="preserve">whether </w:t>
      </w:r>
      <w:r w:rsidR="001E5694" w:rsidRPr="003E046E">
        <w:t xml:space="preserve">providing </w:t>
      </w:r>
      <w:r w:rsidR="00F3214A" w:rsidRPr="003E046E">
        <w:t>catering</w:t>
      </w:r>
      <w:r w:rsidR="00F3214A" w:rsidRPr="003E046E">
        <w:rPr>
          <w:b/>
        </w:rPr>
        <w:t xml:space="preserve"> </w:t>
      </w:r>
      <w:r w:rsidR="001E5694" w:rsidRPr="003E046E">
        <w:t>u</w:t>
      </w:r>
      <w:r w:rsidR="00AA767E" w:rsidRPr="003E046E">
        <w:t xml:space="preserve">sing </w:t>
      </w:r>
      <w:r w:rsidR="00B75875" w:rsidRPr="003E046E">
        <w:t>departmental funding</w:t>
      </w:r>
      <w:r w:rsidR="00AA767E" w:rsidRPr="003E046E">
        <w:rPr>
          <w:b/>
        </w:rPr>
        <w:t xml:space="preserve"> </w:t>
      </w:r>
      <w:r w:rsidR="00F3214A" w:rsidRPr="003E046E">
        <w:t xml:space="preserve">is </w:t>
      </w:r>
      <w:r w:rsidR="003E046E" w:rsidRPr="003E046E">
        <w:t xml:space="preserve">an </w:t>
      </w:r>
      <w:hyperlink r:id="rId10" w:history="1">
        <w:r w:rsidR="003E046E" w:rsidRPr="003E046E">
          <w:rPr>
            <w:rStyle w:val="Hyperlink"/>
          </w:rPr>
          <w:t>appropriate and ethical use</w:t>
        </w:r>
        <w:r w:rsidR="003E046E" w:rsidRPr="003E046E">
          <w:rPr>
            <w:rStyle w:val="Hyperlink"/>
          </w:rPr>
          <w:t xml:space="preserve"> </w:t>
        </w:r>
        <w:r w:rsidR="003E046E" w:rsidRPr="003E046E">
          <w:rPr>
            <w:rStyle w:val="Hyperlink"/>
          </w:rPr>
          <w:t>of public resources</w:t>
        </w:r>
      </w:hyperlink>
      <w:r w:rsidR="008A0F1F" w:rsidRPr="008A0F1F">
        <w:t xml:space="preserve">, </w:t>
      </w:r>
      <w:r w:rsidR="00F3214A" w:rsidRPr="003E046E">
        <w:t>and the standard of any catering</w:t>
      </w:r>
      <w:r w:rsidR="0062452E" w:rsidRPr="003E046E">
        <w:t xml:space="preserve"> provided</w:t>
      </w:r>
      <w:r w:rsidR="00F3214A" w:rsidRPr="003E046E">
        <w:t xml:space="preserve">, </w:t>
      </w:r>
      <w:r w:rsidRPr="003E046E">
        <w:t xml:space="preserve">based on the </w:t>
      </w:r>
      <w:hyperlink r:id="rId11" w:history="1">
        <w:r w:rsidRPr="003E046E">
          <w:rPr>
            <w:rStyle w:val="Hyperlink"/>
          </w:rPr>
          <w:t>Caterin</w:t>
        </w:r>
        <w:r w:rsidRPr="003E046E">
          <w:rPr>
            <w:rStyle w:val="Hyperlink"/>
          </w:rPr>
          <w:t>g</w:t>
        </w:r>
        <w:r w:rsidRPr="003E046E">
          <w:rPr>
            <w:rStyle w:val="Hyperlink"/>
          </w:rPr>
          <w:t xml:space="preserve"> and </w:t>
        </w:r>
        <w:r w:rsidR="00F147B4" w:rsidRPr="003E046E">
          <w:rPr>
            <w:rStyle w:val="Hyperlink"/>
          </w:rPr>
          <w:t>h</w:t>
        </w:r>
        <w:r w:rsidRPr="003E046E">
          <w:rPr>
            <w:rStyle w:val="Hyperlink"/>
          </w:rPr>
          <w:t xml:space="preserve">ospitality </w:t>
        </w:r>
        <w:r w:rsidR="00F147B4" w:rsidRPr="003E046E">
          <w:rPr>
            <w:rStyle w:val="Hyperlink"/>
          </w:rPr>
          <w:t>p</w:t>
        </w:r>
        <w:r w:rsidRPr="003E046E">
          <w:rPr>
            <w:rStyle w:val="Hyperlink"/>
          </w:rPr>
          <w:t>rocedure</w:t>
        </w:r>
      </w:hyperlink>
      <w:r w:rsidRPr="003E046E">
        <w:t>.</w:t>
      </w:r>
      <w:r w:rsidR="003E046E">
        <w:t xml:space="preserve"> For further information on catering options, refer to </w:t>
      </w:r>
      <w:r w:rsidR="003E046E" w:rsidRPr="00752B82">
        <w:t xml:space="preserve">the scenario on catering for events on the </w:t>
      </w:r>
      <w:hyperlink r:id="rId12" w:history="1">
        <w:r w:rsidR="003E046E" w:rsidRPr="00752B82">
          <w:rPr>
            <w:rStyle w:val="Hyperlink"/>
          </w:rPr>
          <w:t>Appropriat</w:t>
        </w:r>
        <w:r w:rsidR="003E046E" w:rsidRPr="00752B82">
          <w:rPr>
            <w:rStyle w:val="Hyperlink"/>
          </w:rPr>
          <w:t>e</w:t>
        </w:r>
        <w:r w:rsidR="003E046E" w:rsidRPr="00752B82">
          <w:rPr>
            <w:rStyle w:val="Hyperlink"/>
          </w:rPr>
          <w:t xml:space="preserve"> and ethical use of public resources</w:t>
        </w:r>
      </w:hyperlink>
      <w:r w:rsidR="003E046E" w:rsidRPr="00752B82">
        <w:t xml:space="preserve"> page (DoE employees only).</w:t>
      </w:r>
    </w:p>
    <w:p w14:paraId="09BE70D0" w14:textId="77777777" w:rsidR="00563404" w:rsidRPr="00563404" w:rsidRDefault="00563404" w:rsidP="004831F4">
      <w:pPr>
        <w:pStyle w:val="ListParagraph"/>
        <w:numPr>
          <w:ilvl w:val="0"/>
          <w:numId w:val="2"/>
        </w:numPr>
        <w:spacing w:after="0"/>
        <w:ind w:left="284" w:hanging="284"/>
      </w:pPr>
      <w:r w:rsidRPr="006B0B09">
        <w:t>Do not plan</w:t>
      </w:r>
      <w:r w:rsidRPr="00563404">
        <w:t xml:space="preserve"> the </w:t>
      </w:r>
      <w:r w:rsidRPr="006B0B09">
        <w:rPr>
          <w:b/>
        </w:rPr>
        <w:t>duration</w:t>
      </w:r>
      <w:r w:rsidRPr="00563404">
        <w:t xml:space="preserve">, </w:t>
      </w:r>
      <w:r w:rsidRPr="006B0B09">
        <w:rPr>
          <w:b/>
        </w:rPr>
        <w:t>timing</w:t>
      </w:r>
      <w:r w:rsidRPr="00563404">
        <w:t xml:space="preserve"> and/or </w:t>
      </w:r>
      <w:r w:rsidRPr="006B0B09">
        <w:rPr>
          <w:b/>
        </w:rPr>
        <w:t>location</w:t>
      </w:r>
      <w:r w:rsidRPr="00563404">
        <w:t xml:space="preserve"> of </w:t>
      </w:r>
      <w:r w:rsidRPr="00563404">
        <w:rPr>
          <w:rFonts w:hint="eastAsia"/>
        </w:rPr>
        <w:t>events</w:t>
      </w:r>
      <w:r w:rsidRPr="00563404">
        <w:t xml:space="preserve"> to specifically enable catering within these Guidelines.</w:t>
      </w:r>
    </w:p>
    <w:p w14:paraId="50823A9D" w14:textId="77777777" w:rsidR="003E046E" w:rsidRDefault="00AF2851" w:rsidP="004831F4">
      <w:pPr>
        <w:pStyle w:val="ListParagraph"/>
        <w:numPr>
          <w:ilvl w:val="0"/>
          <w:numId w:val="2"/>
        </w:numPr>
        <w:spacing w:after="0"/>
        <w:ind w:left="284" w:hanging="284"/>
      </w:pPr>
      <w:r w:rsidRPr="00916B6B">
        <w:t>The table</w:t>
      </w:r>
      <w:r w:rsidR="00DB28FF">
        <w:t>s</w:t>
      </w:r>
      <w:r w:rsidRPr="00916B6B">
        <w:t xml:space="preserve"> below </w:t>
      </w:r>
      <w:r w:rsidR="008734F6">
        <w:t>are</w:t>
      </w:r>
      <w:r w:rsidRPr="00916B6B">
        <w:t xml:space="preserve"> provided as example</w:t>
      </w:r>
      <w:r w:rsidR="007C59B3">
        <w:t>s</w:t>
      </w:r>
      <w:r w:rsidRPr="00916B6B">
        <w:t xml:space="preserve"> only</w:t>
      </w:r>
      <w:r w:rsidR="0062452E">
        <w:t xml:space="preserve"> and </w:t>
      </w:r>
      <w:r w:rsidR="007C59B3">
        <w:t>are</w:t>
      </w:r>
      <w:r w:rsidRPr="00916B6B">
        <w:t xml:space="preserve"> not exhaustive. </w:t>
      </w:r>
    </w:p>
    <w:p w14:paraId="13A7FE85" w14:textId="2F0F7C77" w:rsidR="00AF2851" w:rsidRPr="003E046E" w:rsidRDefault="00AF2851" w:rsidP="004831F4">
      <w:pPr>
        <w:pStyle w:val="ListParagraph"/>
        <w:numPr>
          <w:ilvl w:val="1"/>
          <w:numId w:val="2"/>
        </w:numPr>
        <w:spacing w:after="0"/>
        <w:ind w:left="567" w:hanging="283"/>
      </w:pPr>
      <w:r w:rsidRPr="006257EB">
        <w:rPr>
          <w:rFonts w:hint="eastAsia"/>
          <w:b/>
        </w:rPr>
        <w:t>A</w:t>
      </w:r>
      <w:r w:rsidRPr="006257EB">
        <w:rPr>
          <w:b/>
        </w:rPr>
        <w:t xml:space="preserve"> [Y] indicates that catering may be appropriate – not that catering is essential.</w:t>
      </w:r>
    </w:p>
    <w:p w14:paraId="0026BC7F" w14:textId="06D0F55F" w:rsidR="003E046E" w:rsidRPr="003E046E" w:rsidRDefault="003E046E" w:rsidP="004831F4">
      <w:pPr>
        <w:pStyle w:val="ListParagraph"/>
        <w:numPr>
          <w:ilvl w:val="1"/>
          <w:numId w:val="2"/>
        </w:numPr>
        <w:spacing w:after="0"/>
        <w:ind w:left="567" w:hanging="283"/>
        <w:rPr>
          <w:b/>
        </w:rPr>
      </w:pPr>
      <w:r w:rsidRPr="003E046E">
        <w:rPr>
          <w:b/>
        </w:rPr>
        <w:t xml:space="preserve">A [N] indicates that catering using departmental funds is not appropriate – however users pays </w:t>
      </w:r>
      <w:r>
        <w:rPr>
          <w:b/>
        </w:rPr>
        <w:t>o</w:t>
      </w:r>
      <w:r w:rsidRPr="003E046E">
        <w:rPr>
          <w:b/>
        </w:rPr>
        <w:t>r self-catered options may be appropriate.</w:t>
      </w:r>
    </w:p>
    <w:p w14:paraId="19282E11" w14:textId="5F4A2937" w:rsidR="000C0BFC" w:rsidRPr="00752B82" w:rsidRDefault="000C0BFC" w:rsidP="004831F4">
      <w:pPr>
        <w:pStyle w:val="ListParagraph"/>
        <w:numPr>
          <w:ilvl w:val="0"/>
          <w:numId w:val="2"/>
        </w:numPr>
        <w:spacing w:after="0"/>
        <w:ind w:left="284" w:hanging="284"/>
      </w:pPr>
      <w:r w:rsidRPr="00752B82">
        <w:rPr>
          <w:b/>
        </w:rPr>
        <w:t>Light refreshments</w:t>
      </w:r>
      <w:r w:rsidRPr="00752B82">
        <w:t xml:space="preserve"> include</w:t>
      </w:r>
      <w:r w:rsidR="008A0F1F">
        <w:t xml:space="preserve">, for example, </w:t>
      </w:r>
      <w:r w:rsidR="004831F4">
        <w:t>t</w:t>
      </w:r>
      <w:r w:rsidR="004831F4" w:rsidRPr="004831F4">
        <w:t>ea</w:t>
      </w:r>
      <w:r w:rsidR="004831F4">
        <w:t xml:space="preserve">, </w:t>
      </w:r>
      <w:r w:rsidR="004831F4" w:rsidRPr="004831F4">
        <w:t>coffee</w:t>
      </w:r>
      <w:r w:rsidR="004831F4">
        <w:t>,</w:t>
      </w:r>
      <w:r w:rsidR="004831F4" w:rsidRPr="004831F4">
        <w:t xml:space="preserve"> juice</w:t>
      </w:r>
      <w:r w:rsidR="004831F4">
        <w:t>,</w:t>
      </w:r>
      <w:r w:rsidR="004831F4" w:rsidRPr="004831F4">
        <w:t xml:space="preserve"> </w:t>
      </w:r>
      <w:r w:rsidRPr="00752B82">
        <w:t xml:space="preserve">morning or afternoon tea-type food, such as fruit platters, biscuits, cake, or small savouries. </w:t>
      </w:r>
    </w:p>
    <w:p w14:paraId="357C0A42" w14:textId="1E80BC0A" w:rsidR="000C0BFC" w:rsidRPr="00752B82" w:rsidRDefault="000C0BFC" w:rsidP="004831F4">
      <w:pPr>
        <w:pStyle w:val="ListParagraph"/>
        <w:numPr>
          <w:ilvl w:val="0"/>
          <w:numId w:val="2"/>
        </w:numPr>
        <w:spacing w:after="0"/>
        <w:ind w:left="284" w:hanging="284"/>
      </w:pPr>
      <w:r w:rsidRPr="003E046E">
        <w:rPr>
          <w:b/>
        </w:rPr>
        <w:t>Light meals</w:t>
      </w:r>
      <w:r w:rsidRPr="00752B82">
        <w:t xml:space="preserve"> include, for example, sandwiches, ‘sausage sizzles’, hand-held food, and salads. </w:t>
      </w:r>
    </w:p>
    <w:p w14:paraId="34B20E58" w14:textId="77777777" w:rsidR="004831F4" w:rsidRDefault="004831F4" w:rsidP="00652F13">
      <w:pPr>
        <w:spacing w:before="20" w:after="20"/>
        <w:rPr>
          <w:rFonts w:eastAsia="Times New Roman" w:cstheme="minorHAnsi"/>
          <w:b/>
          <w:bCs/>
        </w:rPr>
      </w:pPr>
    </w:p>
    <w:p w14:paraId="21307835" w14:textId="1946DB5F" w:rsidR="00652F13" w:rsidRPr="00652F13" w:rsidRDefault="00652F13" w:rsidP="00652F13">
      <w:pPr>
        <w:spacing w:before="20" w:after="20"/>
      </w:pPr>
      <w:r w:rsidRPr="00652F13">
        <w:rPr>
          <w:rFonts w:eastAsia="Times New Roman" w:cstheme="minorHAnsi"/>
          <w:b/>
          <w:bCs/>
        </w:rPr>
        <w:t>Catering for</w:t>
      </w:r>
      <w:r w:rsidRPr="00652F13">
        <w:rPr>
          <w:rFonts w:eastAsia="Times New Roman" w:cstheme="minorHAnsi"/>
          <w:b/>
        </w:rPr>
        <w:t xml:space="preserve"> students, parents and carers, external visitors</w:t>
      </w:r>
    </w:p>
    <w:tbl>
      <w:tblPr>
        <w:tblStyle w:val="LightShading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0"/>
        <w:gridCol w:w="987"/>
        <w:gridCol w:w="989"/>
      </w:tblGrid>
      <w:tr w:rsidR="00BF61B3" w:rsidRPr="00E97B12" w14:paraId="2F730E68" w14:textId="77777777" w:rsidTr="00565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1A242508" w14:textId="77777777" w:rsidR="00652F13" w:rsidRPr="00652F13" w:rsidRDefault="00652F13" w:rsidP="004B6873">
            <w:pPr>
              <w:pStyle w:val="Hyp"/>
              <w:numPr>
                <w:ilvl w:val="0"/>
                <w:numId w:val="1"/>
              </w:numPr>
              <w:spacing w:before="60"/>
              <w:ind w:left="357" w:hanging="357"/>
              <w:rPr>
                <w:rStyle w:val="Hyperlink"/>
                <w:b w:val="0"/>
                <w:color w:val="auto"/>
                <w:sz w:val="20"/>
                <w:szCs w:val="20"/>
                <w:u w:val="none"/>
              </w:rPr>
            </w:pPr>
            <w:r w:rsidRPr="00652F13">
              <w:rPr>
                <w:rFonts w:hint="eastAsia"/>
                <w:b w:val="0"/>
                <w:sz w:val="20"/>
                <w:szCs w:val="20"/>
              </w:rPr>
              <w:t xml:space="preserve">Food and drinks for students that are provided by the school must reflect </w:t>
            </w:r>
            <w:hyperlink r:id="rId13" w:history="1">
              <w:r w:rsidRPr="00652F13">
                <w:rPr>
                  <w:rStyle w:val="Hyperlink"/>
                  <w:rFonts w:hint="eastAsia"/>
                  <w:b w:val="0"/>
                  <w:sz w:val="20"/>
                  <w:szCs w:val="20"/>
                </w:rPr>
                <w:t xml:space="preserve">Smart Choices </w:t>
              </w:r>
              <w:r w:rsidRPr="00652F13">
                <w:rPr>
                  <w:rStyle w:val="Hyperlink"/>
                  <w:b w:val="0"/>
                  <w:sz w:val="20"/>
                  <w:szCs w:val="20"/>
                </w:rPr>
                <w:t>–</w:t>
              </w:r>
              <w:r w:rsidRPr="00652F13">
                <w:rPr>
                  <w:rStyle w:val="Hyperlink"/>
                  <w:rFonts w:hint="eastAsia"/>
                  <w:b w:val="0"/>
                  <w:sz w:val="20"/>
                  <w:szCs w:val="20"/>
                </w:rPr>
                <w:t xml:space="preserve"> </w:t>
              </w:r>
              <w:r w:rsidRPr="00652F13">
                <w:rPr>
                  <w:rStyle w:val="Hyperlink"/>
                  <w:rFonts w:hint="eastAsia"/>
                  <w:b w:val="0"/>
                  <w:sz w:val="20"/>
                  <w:szCs w:val="20"/>
                </w:rPr>
                <w:t>H</w:t>
              </w:r>
              <w:r w:rsidRPr="00652F13">
                <w:rPr>
                  <w:rStyle w:val="Hyperlink"/>
                  <w:rFonts w:hint="eastAsia"/>
                  <w:b w:val="0"/>
                  <w:sz w:val="20"/>
                  <w:szCs w:val="20"/>
                </w:rPr>
                <w:t>ealthy Food and Drink Supply Strategy for Queensland Schools</w:t>
              </w:r>
            </w:hyperlink>
            <w:r w:rsidRPr="00652F13">
              <w:rPr>
                <w:rStyle w:val="Hyperlink"/>
                <w:b w:val="0"/>
                <w:sz w:val="20"/>
                <w:szCs w:val="20"/>
              </w:rPr>
              <w:t>.</w:t>
            </w:r>
          </w:p>
          <w:p w14:paraId="0F6EA9F1" w14:textId="349B82A8" w:rsidR="00652F13" w:rsidRPr="00DE5523" w:rsidRDefault="00483B66" w:rsidP="004B6873">
            <w:pPr>
              <w:pStyle w:val="Hyp"/>
              <w:numPr>
                <w:ilvl w:val="0"/>
                <w:numId w:val="1"/>
              </w:numPr>
              <w:spacing w:after="120"/>
              <w:ind w:left="357" w:hanging="357"/>
              <w:rPr>
                <w:rFonts w:eastAsia="Times New Roman" w:cstheme="minorHAnsi"/>
                <w:sz w:val="20"/>
              </w:rPr>
            </w:pPr>
            <w:r w:rsidRPr="00483B66">
              <w:rPr>
                <w:b w:val="0"/>
                <w:sz w:val="20"/>
                <w:szCs w:val="20"/>
              </w:rPr>
              <w:t>Unless otherwise noted below, delegates may choose for events or activities to be self-catered by attendees, or to offer/upgrade catering on a user pays and cost recovery basis (e.g. collected through ticket prices for a school concert). This includes activities where catering using departmental funding is indicated as not appropriate [N].</w:t>
            </w:r>
          </w:p>
        </w:tc>
        <w:tc>
          <w:tcPr>
            <w:tcW w:w="468" w:type="pct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  <w:textDirection w:val="btLr"/>
            <w:vAlign w:val="center"/>
          </w:tcPr>
          <w:p w14:paraId="237A3C2C" w14:textId="6140B8A1" w:rsidR="00BF61B3" w:rsidRPr="00AB12A9" w:rsidRDefault="004831F4" w:rsidP="001E2F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</w:t>
            </w:r>
            <w:r w:rsidR="00BF61B3" w:rsidRPr="00AB12A9">
              <w:rPr>
                <w:rFonts w:eastAsia="Times New Roman" w:cstheme="minorHAnsi"/>
                <w:sz w:val="20"/>
                <w:szCs w:val="20"/>
              </w:rPr>
              <w:t xml:space="preserve">ight </w:t>
            </w:r>
            <w:r>
              <w:rPr>
                <w:rFonts w:eastAsia="Times New Roman" w:cstheme="minorHAnsi"/>
                <w:sz w:val="20"/>
                <w:szCs w:val="20"/>
              </w:rPr>
              <w:t>r</w:t>
            </w:r>
            <w:r w:rsidR="00BF61B3" w:rsidRPr="00AB12A9">
              <w:rPr>
                <w:rFonts w:eastAsia="Times New Roman" w:cstheme="minorHAnsi"/>
                <w:sz w:val="20"/>
                <w:szCs w:val="20"/>
              </w:rPr>
              <w:t xml:space="preserve">efreshments </w:t>
            </w:r>
          </w:p>
        </w:tc>
        <w:tc>
          <w:tcPr>
            <w:tcW w:w="469" w:type="pct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  <w:textDirection w:val="btLr"/>
            <w:vAlign w:val="center"/>
          </w:tcPr>
          <w:p w14:paraId="2363319D" w14:textId="060FCB54" w:rsidR="00BF61B3" w:rsidRPr="00AB12A9" w:rsidRDefault="00BF61B3" w:rsidP="001E2FE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AB12A9">
              <w:rPr>
                <w:rFonts w:eastAsia="Times New Roman" w:cstheme="minorHAnsi"/>
                <w:bCs w:val="0"/>
                <w:sz w:val="20"/>
                <w:szCs w:val="20"/>
              </w:rPr>
              <w:t>Light m</w:t>
            </w:r>
            <w:r w:rsidRPr="00AB12A9">
              <w:rPr>
                <w:rFonts w:eastAsia="Times New Roman" w:cstheme="minorHAnsi"/>
                <w:sz w:val="20"/>
                <w:szCs w:val="20"/>
              </w:rPr>
              <w:t>eal</w:t>
            </w:r>
            <w:r w:rsidR="00AA767E" w:rsidRPr="00AB12A9">
              <w:rPr>
                <w:rFonts w:eastAsia="Times New Roman" w:cstheme="minorHAnsi"/>
                <w:sz w:val="20"/>
                <w:szCs w:val="20"/>
              </w:rPr>
              <w:t>s</w:t>
            </w:r>
            <w:r w:rsidRPr="00AB12A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BF61B3" w:rsidRPr="00F96586" w14:paraId="00F36B78" w14:textId="77777777" w:rsidTr="00565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BFC725D" w14:textId="77777777" w:rsidR="00BF61B3" w:rsidRPr="00F96586" w:rsidRDefault="00BF61B3" w:rsidP="00153083">
            <w:pPr>
              <w:rPr>
                <w:rFonts w:eastAsia="Times New Roman" w:cstheme="minorHAnsi"/>
                <w:color w:val="auto"/>
                <w:sz w:val="20"/>
              </w:rPr>
            </w:pPr>
            <w:r w:rsidRPr="00F96586">
              <w:rPr>
                <w:rFonts w:eastAsia="Times New Roman" w:cstheme="minorHAnsi"/>
                <w:color w:val="auto"/>
                <w:sz w:val="20"/>
              </w:rPr>
              <w:t>Public events and activities in schools</w:t>
            </w:r>
          </w:p>
        </w:tc>
        <w:tc>
          <w:tcPr>
            <w:tcW w:w="468" w:type="pct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EBC37AB" w14:textId="77777777" w:rsidR="00BF61B3" w:rsidRPr="00F96586" w:rsidRDefault="00BF61B3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5B08BE4" w14:textId="77777777" w:rsidR="00BF61B3" w:rsidRPr="00F96586" w:rsidRDefault="00BF61B3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F61B3" w:rsidRPr="00F96586" w14:paraId="58C61A4D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6E9291" w14:textId="77777777" w:rsidR="00BF61B3" w:rsidRPr="00F96586" w:rsidRDefault="00BF61B3" w:rsidP="004831F4">
            <w:pPr>
              <w:ind w:left="227"/>
              <w:rPr>
                <w:rFonts w:eastAsia="Times New Roman" w:cstheme="minorHAnsi"/>
                <w:b w:val="0"/>
                <w:color w:val="auto"/>
                <w:sz w:val="20"/>
              </w:rPr>
            </w:pP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>Awards nights</w:t>
            </w:r>
            <w:r>
              <w:rPr>
                <w:rFonts w:eastAsia="Times New Roman" w:cstheme="minorHAnsi"/>
                <w:b w:val="0"/>
                <w:color w:val="auto"/>
                <w:sz w:val="20"/>
              </w:rPr>
              <w:t xml:space="preserve">, </w:t>
            </w: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>graduation functions</w:t>
            </w:r>
            <w:r>
              <w:rPr>
                <w:rFonts w:eastAsia="Times New Roman" w:cstheme="minorHAnsi"/>
                <w:b w:val="0"/>
                <w:color w:val="auto"/>
                <w:sz w:val="20"/>
              </w:rPr>
              <w:t xml:space="preserve"> and school concerts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DF99274" w14:textId="77777777" w:rsidR="00BF61B3" w:rsidRPr="00F96586" w:rsidRDefault="00BF61B3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A743FF2" w14:textId="77777777" w:rsidR="00BF61B3" w:rsidRPr="00DB28FF" w:rsidRDefault="00BF61B3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DB28FF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BF61B3" w:rsidRPr="00F96586" w14:paraId="2927742B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2EBF1AF" w14:textId="77777777" w:rsidR="00BF61B3" w:rsidRPr="00F96586" w:rsidRDefault="00BF61B3" w:rsidP="004831F4">
            <w:pPr>
              <w:ind w:left="227"/>
              <w:rPr>
                <w:rFonts w:eastAsia="Times New Roman" w:cstheme="minorHAnsi"/>
                <w:color w:val="auto"/>
                <w:sz w:val="20"/>
              </w:rPr>
            </w:pP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 xml:space="preserve">Community engagement </w:t>
            </w:r>
            <w:r w:rsidR="007B2357">
              <w:rPr>
                <w:rFonts w:eastAsia="Times New Roman" w:cstheme="minorHAnsi"/>
                <w:b w:val="0"/>
                <w:color w:val="auto"/>
                <w:sz w:val="20"/>
              </w:rPr>
              <w:t xml:space="preserve">events </w:t>
            </w: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>(e.g. parent-teacher interviews, information sessions, school openings, open days)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0A3AE1F" w14:textId="77777777" w:rsidR="00BF61B3" w:rsidRPr="00F96586" w:rsidRDefault="00BF61B3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25BDC83" w14:textId="34DBF4E1" w:rsidR="00BF61B3" w:rsidRPr="00DB28FF" w:rsidRDefault="00BA6EC2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</w:tr>
      <w:tr w:rsidR="00BF61B3" w:rsidRPr="00F96586" w14:paraId="6FAC063B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A062A5" w14:textId="77777777" w:rsidR="00BF61B3" w:rsidRPr="00F96586" w:rsidRDefault="00BF61B3" w:rsidP="004831F4">
            <w:pPr>
              <w:ind w:left="227"/>
              <w:rPr>
                <w:rFonts w:eastAsia="Times New Roman" w:cstheme="minorHAnsi"/>
                <w:b w:val="0"/>
                <w:color w:val="auto"/>
                <w:sz w:val="20"/>
              </w:rPr>
            </w:pP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>Volunteers and working bees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8F549A7" w14:textId="77777777" w:rsidR="00BF61B3" w:rsidRPr="00F96586" w:rsidRDefault="00BF61B3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5177339" w14:textId="77777777" w:rsidR="00BF61B3" w:rsidRPr="00F96586" w:rsidRDefault="00BF61B3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</w:tr>
      <w:tr w:rsidR="00DB28FF" w:rsidRPr="00F96586" w14:paraId="76983A97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5D2D809" w14:textId="645E418A" w:rsidR="00DB28FF" w:rsidRPr="00F96586" w:rsidRDefault="00DB28FF" w:rsidP="004831F4">
            <w:pPr>
              <w:ind w:left="227"/>
              <w:rPr>
                <w:rFonts w:eastAsia="Times New Roman" w:cstheme="minorHAnsi"/>
                <w:b w:val="0"/>
                <w:sz w:val="20"/>
              </w:rPr>
            </w:pPr>
            <w:r w:rsidRPr="00F96586">
              <w:rPr>
                <w:rFonts w:eastAsia="Times New Roman" w:cstheme="minorHAnsi"/>
                <w:b w:val="0"/>
                <w:sz w:val="20"/>
              </w:rPr>
              <w:t>P&amp;C / School Council (or sub-committees) meetings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4B6A93D" w14:textId="77777777" w:rsidR="00DB28FF" w:rsidRPr="00F96586" w:rsidRDefault="00DB28FF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E874615" w14:textId="77777777" w:rsidR="00DB28FF" w:rsidRPr="00F96586" w:rsidRDefault="00DB28FF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DB28FF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6E73A3" w:rsidRPr="00F96586" w14:paraId="21082006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F4EE34" w14:textId="77777777" w:rsidR="006E73A3" w:rsidRPr="00F96586" w:rsidRDefault="006E73A3" w:rsidP="00153083">
            <w:pPr>
              <w:rPr>
                <w:rFonts w:eastAsia="Times New Roman" w:cstheme="minorHAnsi"/>
                <w:b w:val="0"/>
                <w:sz w:val="20"/>
              </w:rPr>
            </w:pPr>
            <w:r w:rsidRPr="00F96586">
              <w:rPr>
                <w:rFonts w:eastAsia="Times New Roman" w:cstheme="minorHAnsi"/>
                <w:color w:val="auto"/>
                <w:sz w:val="20"/>
              </w:rPr>
              <w:t>Student events and activities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8633C00" w14:textId="77777777" w:rsidR="006E73A3" w:rsidRPr="00F96586" w:rsidRDefault="006E73A3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2019042" w14:textId="77777777" w:rsidR="006E73A3" w:rsidRPr="00F96586" w:rsidRDefault="006E73A3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E73A3" w:rsidRPr="00F96586" w14:paraId="5AC31BFE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C15D2C" w14:textId="79856782" w:rsidR="006E73A3" w:rsidRPr="00F96586" w:rsidRDefault="006E73A3" w:rsidP="004831F4">
            <w:pPr>
              <w:ind w:left="227"/>
              <w:rPr>
                <w:rFonts w:eastAsia="Times New Roman" w:cstheme="minorHAnsi"/>
                <w:b w:val="0"/>
                <w:sz w:val="20"/>
              </w:rPr>
            </w:pP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 xml:space="preserve">Student clubs, homework clubs, school </w:t>
            </w:r>
            <w:r w:rsidR="000C0BFC" w:rsidRPr="00F96586">
              <w:rPr>
                <w:rFonts w:eastAsia="Times New Roman" w:cstheme="minorHAnsi"/>
                <w:b w:val="0"/>
                <w:color w:val="auto"/>
                <w:sz w:val="20"/>
              </w:rPr>
              <w:t>leaders’</w:t>
            </w: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 xml:space="preserve"> functions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8203667" w14:textId="77777777" w:rsidR="006E73A3" w:rsidRPr="00F96586" w:rsidRDefault="006E73A3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6D3E9F5" w14:textId="77777777" w:rsidR="006E73A3" w:rsidRPr="00F96586" w:rsidRDefault="006E73A3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6E73A3" w:rsidRPr="00F96586" w14:paraId="3C9AEDD0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15BDC3" w14:textId="77777777" w:rsidR="006E73A3" w:rsidRPr="00F96586" w:rsidRDefault="006E73A3" w:rsidP="004831F4">
            <w:pPr>
              <w:ind w:left="227"/>
              <w:rPr>
                <w:rFonts w:eastAsia="Times New Roman" w:cstheme="minorHAnsi"/>
                <w:b w:val="0"/>
                <w:sz w:val="20"/>
              </w:rPr>
            </w:pP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>Breakfast Clubs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F1D972F" w14:textId="77777777" w:rsidR="006E73A3" w:rsidRPr="00F96586" w:rsidRDefault="006E73A3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D3DF2DE" w14:textId="77777777" w:rsidR="006E73A3" w:rsidRPr="00F96586" w:rsidRDefault="006E73A3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</w:tr>
      <w:tr w:rsidR="006E73A3" w:rsidRPr="00F96586" w14:paraId="49C50863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A22320" w14:textId="77777777" w:rsidR="006E73A3" w:rsidRPr="00F96586" w:rsidRDefault="006E73A3" w:rsidP="004831F4">
            <w:pPr>
              <w:ind w:left="227"/>
              <w:rPr>
                <w:rFonts w:eastAsia="Times New Roman" w:cstheme="minorHAnsi"/>
                <w:b w:val="0"/>
                <w:sz w:val="20"/>
              </w:rPr>
            </w:pPr>
            <w:r w:rsidRPr="00DE5523">
              <w:rPr>
                <w:rFonts w:eastAsia="Times New Roman" w:cstheme="minorHAnsi"/>
                <w:b w:val="0"/>
                <w:sz w:val="20"/>
              </w:rPr>
              <w:t>Food offered as incentive to participate in programs</w:t>
            </w:r>
            <w:r>
              <w:rPr>
                <w:rFonts w:eastAsia="Times New Roman" w:cstheme="minorHAnsi"/>
                <w:b w:val="0"/>
                <w:sz w:val="20"/>
              </w:rPr>
              <w:t xml:space="preserve"> (e.g. to encourage participation in non-mandatory programs, ceremonies or information sessions) or as sanctioned awards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D2A3EF1" w14:textId="77777777" w:rsidR="006E73A3" w:rsidRPr="00F96586" w:rsidRDefault="006E73A3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8BD85DB" w14:textId="77777777" w:rsidR="006E73A3" w:rsidRPr="00F96586" w:rsidRDefault="006E73A3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</w:tr>
      <w:tr w:rsidR="00D31ACB" w:rsidRPr="00F96586" w14:paraId="22B875CF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3BBA99E" w14:textId="72A255C6" w:rsidR="00D31ACB" w:rsidRPr="00DE5523" w:rsidRDefault="00D31ACB" w:rsidP="004831F4">
            <w:pPr>
              <w:ind w:left="227"/>
              <w:rPr>
                <w:rFonts w:eastAsia="Times New Roman" w:cstheme="minorHAnsi"/>
                <w:sz w:val="20"/>
              </w:rPr>
            </w:pPr>
            <w:r w:rsidRPr="00F96586">
              <w:rPr>
                <w:rFonts w:eastAsia="Times New Roman" w:cstheme="minorHAnsi"/>
                <w:b w:val="0"/>
                <w:sz w:val="20"/>
              </w:rPr>
              <w:t>Student Council meetings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66F72D" w14:textId="625208B5" w:rsidR="00D31ACB" w:rsidRDefault="00D31ACB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6255EF3" w14:textId="00250244" w:rsidR="00D31ACB" w:rsidRPr="00F96586" w:rsidRDefault="00D31ACB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DB28FF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D31ACB" w:rsidRPr="00F96586" w14:paraId="4F4D4B10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B09AF07" w14:textId="3BF0F4BD" w:rsidR="00D31ACB" w:rsidRPr="00F96586" w:rsidRDefault="00D31ACB" w:rsidP="00153083">
            <w:pPr>
              <w:rPr>
                <w:rFonts w:eastAsia="Times New Roman" w:cstheme="minorHAnsi"/>
                <w:b w:val="0"/>
                <w:sz w:val="20"/>
              </w:rPr>
            </w:pPr>
            <w:r w:rsidRPr="00F96586">
              <w:rPr>
                <w:rFonts w:eastAsia="Times New Roman" w:cstheme="minorHAnsi"/>
                <w:color w:val="auto"/>
                <w:sz w:val="20"/>
              </w:rPr>
              <w:t xml:space="preserve">Visitors to the school/business </w:t>
            </w:r>
            <w:r>
              <w:rPr>
                <w:rFonts w:eastAsia="Times New Roman" w:cstheme="minorHAnsi"/>
                <w:color w:val="auto"/>
                <w:sz w:val="20"/>
              </w:rPr>
              <w:t xml:space="preserve">unit 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D8C501A" w14:textId="77777777" w:rsidR="00D31ACB" w:rsidRPr="00F96586" w:rsidRDefault="00D31ACB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AE99D88" w14:textId="77777777" w:rsidR="00D31ACB" w:rsidRPr="00F96586" w:rsidRDefault="00D31ACB" w:rsidP="00153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31ACB" w:rsidRPr="00F96586" w14:paraId="15F66332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C1A8C99" w14:textId="3F4B0C69" w:rsidR="00D31ACB" w:rsidRPr="00326C14" w:rsidRDefault="007121C8" w:rsidP="004831F4">
            <w:pPr>
              <w:ind w:left="227"/>
              <w:rPr>
                <w:rFonts w:eastAsia="Times New Roman" w:cstheme="minorHAnsi"/>
                <w:b w:val="0"/>
                <w:sz w:val="20"/>
              </w:rPr>
            </w:pPr>
            <w:r w:rsidRPr="00326C14">
              <w:rPr>
                <w:rFonts w:eastAsia="Times New Roman" w:cstheme="minorHAnsi"/>
                <w:b w:val="0"/>
                <w:color w:val="auto"/>
                <w:sz w:val="20"/>
              </w:rPr>
              <w:t>C</w:t>
            </w:r>
            <w:r w:rsidR="00417BA0" w:rsidRPr="00326C14">
              <w:rPr>
                <w:rFonts w:eastAsia="Times New Roman" w:cstheme="minorHAnsi"/>
                <w:b w:val="0"/>
                <w:color w:val="auto"/>
                <w:sz w:val="20"/>
              </w:rPr>
              <w:t xml:space="preserve">ustomers and stakeholders </w:t>
            </w:r>
            <w:r w:rsidR="00417BA0" w:rsidRPr="00326C14">
              <w:rPr>
                <w:rStyle w:val="CommentReference"/>
                <w:b w:val="0"/>
                <w:bCs w:val="0"/>
                <w:color w:val="auto"/>
                <w:sz w:val="20"/>
                <w:szCs w:val="20"/>
              </w:rPr>
              <w:t>e</w:t>
            </w:r>
            <w:r w:rsidR="00417BA0" w:rsidRPr="00326C14">
              <w:rPr>
                <w:rStyle w:val="CommentReference"/>
                <w:b w:val="0"/>
                <w:sz w:val="20"/>
                <w:szCs w:val="20"/>
              </w:rPr>
              <w:t xml:space="preserve">xternal to the </w:t>
            </w:r>
            <w:r w:rsidR="00C21440" w:rsidRPr="00326C14">
              <w:rPr>
                <w:rStyle w:val="CommentReference"/>
                <w:b w:val="0"/>
                <w:sz w:val="20"/>
                <w:szCs w:val="20"/>
              </w:rPr>
              <w:t>government</w:t>
            </w:r>
            <w:r w:rsidR="00417BA0" w:rsidRPr="00326C14">
              <w:rPr>
                <w:rStyle w:val="CommentReference"/>
                <w:b w:val="0"/>
                <w:sz w:val="20"/>
                <w:szCs w:val="20"/>
              </w:rPr>
              <w:t xml:space="preserve"> </w:t>
            </w:r>
            <w:r w:rsidRPr="00326C14">
              <w:rPr>
                <w:rStyle w:val="CommentReference"/>
                <w:b w:val="0"/>
                <w:sz w:val="20"/>
                <w:szCs w:val="20"/>
              </w:rPr>
              <w:t>meeting</w:t>
            </w:r>
            <w:r w:rsidRPr="00326C14">
              <w:rPr>
                <w:rStyle w:val="CommentReference"/>
                <w:sz w:val="20"/>
                <w:szCs w:val="20"/>
              </w:rPr>
              <w:t xml:space="preserve"> </w:t>
            </w:r>
            <w:r w:rsidRPr="00326C14">
              <w:rPr>
                <w:rStyle w:val="CommentReference"/>
                <w:b w:val="0"/>
                <w:sz w:val="20"/>
                <w:szCs w:val="20"/>
              </w:rPr>
              <w:t>with departmental staff</w:t>
            </w:r>
            <w:r w:rsidRPr="00326C14">
              <w:rPr>
                <w:rStyle w:val="CommentReference"/>
                <w:sz w:val="20"/>
                <w:szCs w:val="20"/>
              </w:rPr>
              <w:t xml:space="preserve"> </w:t>
            </w:r>
            <w:r w:rsidR="00417BA0" w:rsidRPr="00326C14">
              <w:rPr>
                <w:rFonts w:eastAsia="Times New Roman" w:cstheme="minorHAnsi"/>
                <w:b w:val="0"/>
                <w:color w:val="auto"/>
                <w:sz w:val="20"/>
              </w:rPr>
              <w:t>&lt; 2 hours AND within normal working hours AND onsite</w:t>
            </w:r>
            <w:r w:rsidR="00C616F0" w:rsidRPr="00326C14">
              <w:rPr>
                <w:rFonts w:eastAsia="Times New Roman" w:cstheme="minorHAnsi"/>
                <w:b w:val="0"/>
                <w:color w:val="auto"/>
                <w:sz w:val="20"/>
              </w:rPr>
              <w:t xml:space="preserve"> </w:t>
            </w:r>
            <w:r w:rsidR="006C0998" w:rsidRPr="00326C14">
              <w:rPr>
                <w:rFonts w:eastAsia="Times New Roman" w:cstheme="minorHAnsi"/>
                <w:b w:val="0"/>
                <w:color w:val="auto"/>
                <w:sz w:val="20"/>
                <w:vertAlign w:val="superscript"/>
              </w:rPr>
              <w:t>1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19093FC" w14:textId="77777777" w:rsidR="00D31ACB" w:rsidRPr="00326C14" w:rsidRDefault="00D31ACB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28A128C" w14:textId="77777777" w:rsidR="00D31ACB" w:rsidRPr="00326C14" w:rsidRDefault="00D31ACB" w:rsidP="00153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417BA0" w:rsidRPr="00F96586" w14:paraId="38ACC96F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1F0BA7" w14:textId="44B847B5" w:rsidR="00417BA0" w:rsidRPr="00326C14" w:rsidRDefault="007121C8" w:rsidP="004831F4">
            <w:pPr>
              <w:ind w:left="227"/>
              <w:rPr>
                <w:rFonts w:eastAsia="Times New Roman" w:cstheme="minorHAnsi"/>
                <w:sz w:val="20"/>
              </w:rPr>
            </w:pPr>
            <w:r w:rsidRPr="00326C14">
              <w:rPr>
                <w:rFonts w:eastAsia="Times New Roman" w:cstheme="minorHAnsi"/>
                <w:b w:val="0"/>
                <w:color w:val="auto"/>
                <w:sz w:val="20"/>
              </w:rPr>
              <w:t>C</w:t>
            </w:r>
            <w:r w:rsidR="00417BA0" w:rsidRPr="00326C14">
              <w:rPr>
                <w:rFonts w:eastAsia="Times New Roman" w:cstheme="minorHAnsi"/>
                <w:b w:val="0"/>
                <w:color w:val="auto"/>
                <w:sz w:val="20"/>
              </w:rPr>
              <w:t xml:space="preserve">ustomers and stakeholders </w:t>
            </w:r>
            <w:r w:rsidR="00417BA0" w:rsidRPr="00326C14">
              <w:rPr>
                <w:rStyle w:val="CommentReference"/>
                <w:b w:val="0"/>
                <w:bCs w:val="0"/>
                <w:color w:val="auto"/>
                <w:sz w:val="20"/>
                <w:szCs w:val="20"/>
              </w:rPr>
              <w:t>e</w:t>
            </w:r>
            <w:r w:rsidR="00417BA0" w:rsidRPr="00326C14">
              <w:rPr>
                <w:rStyle w:val="CommentReference"/>
                <w:b w:val="0"/>
                <w:sz w:val="20"/>
                <w:szCs w:val="20"/>
              </w:rPr>
              <w:t xml:space="preserve">xternal to the </w:t>
            </w:r>
            <w:r w:rsidR="00C21440" w:rsidRPr="00326C14">
              <w:rPr>
                <w:rStyle w:val="CommentReference"/>
                <w:b w:val="0"/>
                <w:sz w:val="20"/>
                <w:szCs w:val="20"/>
              </w:rPr>
              <w:t>government</w:t>
            </w:r>
            <w:r w:rsidR="00417BA0" w:rsidRPr="00326C14">
              <w:rPr>
                <w:rStyle w:val="CommentReference"/>
                <w:b w:val="0"/>
                <w:sz w:val="20"/>
                <w:szCs w:val="20"/>
              </w:rPr>
              <w:t xml:space="preserve"> </w:t>
            </w:r>
            <w:r w:rsidRPr="00326C14">
              <w:rPr>
                <w:rStyle w:val="CommentReference"/>
                <w:b w:val="0"/>
                <w:sz w:val="20"/>
                <w:szCs w:val="20"/>
              </w:rPr>
              <w:t>meeting</w:t>
            </w:r>
            <w:r w:rsidRPr="00326C14">
              <w:rPr>
                <w:rStyle w:val="CommentReference"/>
                <w:sz w:val="20"/>
                <w:szCs w:val="20"/>
              </w:rPr>
              <w:t xml:space="preserve"> </w:t>
            </w:r>
            <w:r w:rsidRPr="00326C14">
              <w:rPr>
                <w:rStyle w:val="CommentReference"/>
                <w:b w:val="0"/>
                <w:sz w:val="20"/>
                <w:szCs w:val="20"/>
              </w:rPr>
              <w:t>with departmental staff</w:t>
            </w:r>
            <w:r w:rsidRPr="00326C14">
              <w:rPr>
                <w:rStyle w:val="CommentReference"/>
                <w:sz w:val="20"/>
                <w:szCs w:val="20"/>
              </w:rPr>
              <w:t xml:space="preserve"> </w:t>
            </w:r>
            <w:r w:rsidR="00417BA0" w:rsidRPr="00326C14">
              <w:rPr>
                <w:rFonts w:eastAsia="Times New Roman" w:cstheme="minorHAnsi"/>
                <w:b w:val="0"/>
                <w:color w:val="auto"/>
                <w:sz w:val="20"/>
              </w:rPr>
              <w:t>≥ 2 hours OR held during normal meal times OR outside normal working hours OR held offsite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50EF59D" w14:textId="7162E99E" w:rsidR="00417BA0" w:rsidRPr="00326C14" w:rsidRDefault="00417BA0" w:rsidP="00056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9F149E5" w14:textId="7AA94363" w:rsidR="00417BA0" w:rsidRPr="00326C14" w:rsidRDefault="00417BA0" w:rsidP="00056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</w:tr>
      <w:tr w:rsidR="00056010" w:rsidRPr="00F96586" w14:paraId="0EE130B1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BDD5F46" w14:textId="6697D3D8" w:rsidR="00056010" w:rsidRPr="00326C14" w:rsidRDefault="00056010" w:rsidP="004831F4">
            <w:pPr>
              <w:ind w:left="227"/>
              <w:rPr>
                <w:rFonts w:eastAsia="Times New Roman" w:cstheme="minorHAnsi"/>
                <w:b w:val="0"/>
                <w:sz w:val="20"/>
              </w:rPr>
            </w:pPr>
            <w:r w:rsidRPr="00326C14">
              <w:rPr>
                <w:rFonts w:eastAsia="Times New Roman" w:cstheme="minorHAnsi"/>
                <w:b w:val="0"/>
                <w:color w:val="auto"/>
                <w:sz w:val="20"/>
              </w:rPr>
              <w:t>Hosting students and staff from other schools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69CD45A" w14:textId="69A6F675" w:rsidR="00056010" w:rsidRPr="00326C14" w:rsidRDefault="00056010" w:rsidP="00056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98B44F5" w14:textId="4549E369" w:rsidR="00056010" w:rsidRPr="00326C14" w:rsidRDefault="00056010" w:rsidP="00056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056010" w:rsidRPr="00F96586" w14:paraId="5F6AEDC9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458ACA" w14:textId="1856A933" w:rsidR="00056010" w:rsidRPr="00326C14" w:rsidRDefault="00056010" w:rsidP="004831F4">
            <w:pPr>
              <w:ind w:left="227"/>
              <w:rPr>
                <w:rFonts w:eastAsia="Times New Roman" w:cstheme="minorHAnsi"/>
                <w:b w:val="0"/>
                <w:sz w:val="20"/>
              </w:rPr>
            </w:pPr>
            <w:r w:rsidRPr="00326C14">
              <w:rPr>
                <w:rFonts w:eastAsia="Times New Roman" w:cstheme="minorHAnsi"/>
                <w:b w:val="0"/>
                <w:color w:val="auto"/>
                <w:sz w:val="20"/>
              </w:rPr>
              <w:t>Official visitors (e.g. Members of Parliament)</w:t>
            </w:r>
            <w:r w:rsidRPr="00326C14">
              <w:rPr>
                <w:rFonts w:eastAsia="Times New Roman" w:cstheme="minorHAnsi"/>
                <w:b w:val="0"/>
                <w:color w:val="auto"/>
                <w:vertAlign w:val="superscript"/>
              </w:rPr>
              <w:t xml:space="preserve"> </w:t>
            </w:r>
            <w:r w:rsidR="006C0998" w:rsidRPr="00326C14">
              <w:rPr>
                <w:rFonts w:eastAsia="Times New Roman" w:cstheme="minorHAnsi"/>
                <w:b w:val="0"/>
                <w:color w:val="auto"/>
                <w:vertAlign w:val="superscript"/>
              </w:rPr>
              <w:t>2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DEA4963" w14:textId="77777777" w:rsidR="00056010" w:rsidRPr="00326C14" w:rsidRDefault="00056010" w:rsidP="00056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00E4B49" w14:textId="77777777" w:rsidR="00056010" w:rsidRPr="00326C14" w:rsidRDefault="00056010" w:rsidP="00056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056010" w:rsidRPr="00F96586" w14:paraId="09C55F05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310FB0" w14:textId="7510881A" w:rsidR="00056010" w:rsidRPr="00326C14" w:rsidRDefault="00056010" w:rsidP="004831F4">
            <w:pPr>
              <w:ind w:left="227"/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b w:val="0"/>
                <w:color w:val="auto"/>
                <w:sz w:val="20"/>
                <w:szCs w:val="20"/>
              </w:rPr>
              <w:t xml:space="preserve">International visitors (e.g. visiting study tours) &lt; 2 hours </w:t>
            </w:r>
            <w:r w:rsidR="006C0998" w:rsidRPr="00326C14">
              <w:rPr>
                <w:rFonts w:eastAsia="Times New Roman" w:cstheme="minorHAnsi"/>
                <w:b w:val="0"/>
                <w:color w:val="auto"/>
                <w:sz w:val="20"/>
                <w:szCs w:val="20"/>
                <w:vertAlign w:val="superscript"/>
              </w:rPr>
              <w:t>2</w:t>
            </w:r>
            <w:r w:rsidRPr="00326C14">
              <w:rPr>
                <w:rFonts w:eastAsia="Times New Roman" w:cstheme="minorHAnsi"/>
                <w:b w:val="0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C0998" w:rsidRPr="00326C14">
              <w:rPr>
                <w:rFonts w:eastAsia="Times New Roman" w:cstheme="minorHAnsi"/>
                <w:b w:val="0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9339A59" w14:textId="77777777" w:rsidR="00056010" w:rsidRPr="00326C14" w:rsidRDefault="00056010" w:rsidP="00056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BB4FFC8" w14:textId="3BE4B791" w:rsidR="00056010" w:rsidRPr="00326C14" w:rsidRDefault="00056010" w:rsidP="00056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056010" w:rsidRPr="00F96586" w14:paraId="1FB5D18E" w14:textId="77777777" w:rsidTr="0048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DB019A" w14:textId="2F351543" w:rsidR="00056010" w:rsidRPr="00326C14" w:rsidRDefault="00056010" w:rsidP="004831F4">
            <w:pPr>
              <w:ind w:left="227"/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b w:val="0"/>
                <w:color w:val="auto"/>
                <w:sz w:val="20"/>
                <w:szCs w:val="20"/>
              </w:rPr>
              <w:t xml:space="preserve">International visitors (e.g. visiting study tours) ≥ 2 hours </w:t>
            </w:r>
            <w:r w:rsidR="006C0998" w:rsidRPr="00326C14">
              <w:rPr>
                <w:rFonts w:eastAsia="Times New Roman" w:cstheme="minorHAnsi"/>
                <w:b w:val="0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3D97964" w14:textId="77777777" w:rsidR="00056010" w:rsidRPr="00326C14" w:rsidRDefault="00056010" w:rsidP="00056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912C254" w14:textId="77777777" w:rsidR="00056010" w:rsidRPr="00326C14" w:rsidRDefault="00056010" w:rsidP="00056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</w:tr>
      <w:tr w:rsidR="00EF4CF8" w:rsidRPr="00F96586" w14:paraId="6BE02339" w14:textId="77777777" w:rsidTr="00483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2" w:space="0" w:color="A6A6A6" w:themeColor="background1" w:themeShade="A6"/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14:paraId="3CCCD1C1" w14:textId="77777777" w:rsidR="00EF4CF8" w:rsidRPr="00326C14" w:rsidRDefault="00EF4CF8" w:rsidP="00565BDB">
            <w:pPr>
              <w:pStyle w:val="Hyp"/>
              <w:rPr>
                <w:sz w:val="20"/>
                <w:szCs w:val="20"/>
              </w:rPr>
            </w:pPr>
            <w:r w:rsidRPr="00326C14">
              <w:rPr>
                <w:sz w:val="20"/>
                <w:szCs w:val="20"/>
              </w:rPr>
              <w:t>Notes:</w:t>
            </w:r>
          </w:p>
          <w:p w14:paraId="7043552B" w14:textId="3EC0FF1E" w:rsidR="006C0998" w:rsidRPr="00326C14" w:rsidRDefault="006C0998" w:rsidP="00565BD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 w:val="0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b w:val="0"/>
                <w:sz w:val="20"/>
                <w:szCs w:val="20"/>
              </w:rPr>
              <w:t>Staff are reminded that when meeting</w:t>
            </w:r>
            <w:r w:rsidR="004B6873" w:rsidRPr="00326C14">
              <w:rPr>
                <w:rFonts w:eastAsia="Times New Roman" w:cstheme="minorHAnsi"/>
                <w:b w:val="0"/>
                <w:sz w:val="20"/>
                <w:szCs w:val="20"/>
              </w:rPr>
              <w:t>s</w:t>
            </w:r>
            <w:r w:rsidRPr="00326C14">
              <w:rPr>
                <w:rFonts w:eastAsia="Times New Roman" w:cstheme="minorHAnsi"/>
                <w:b w:val="0"/>
                <w:sz w:val="20"/>
                <w:szCs w:val="20"/>
              </w:rPr>
              <w:t xml:space="preserve"> with external customers and stakeholders</w:t>
            </w:r>
            <w:r w:rsidR="004B6873" w:rsidRPr="00326C14">
              <w:rPr>
                <w:rFonts w:eastAsia="Times New Roman" w:cstheme="minorHAnsi"/>
                <w:b w:val="0"/>
                <w:sz w:val="20"/>
                <w:szCs w:val="20"/>
              </w:rPr>
              <w:t xml:space="preserve"> are &lt; 2 hours</w:t>
            </w:r>
            <w:r w:rsidRPr="00326C14">
              <w:rPr>
                <w:rFonts w:eastAsia="Times New Roman" w:cstheme="minorHAnsi"/>
                <w:b w:val="0"/>
                <w:sz w:val="20"/>
                <w:szCs w:val="20"/>
              </w:rPr>
              <w:t xml:space="preserve">, </w:t>
            </w:r>
            <w:r w:rsidR="004B6873" w:rsidRPr="00326C14">
              <w:rPr>
                <w:rFonts w:eastAsia="Times New Roman" w:cstheme="minorHAnsi"/>
                <w:b w:val="0"/>
                <w:sz w:val="20"/>
                <w:szCs w:val="20"/>
              </w:rPr>
              <w:t>it is not appropriate to use departmental funds to purchase light refreshments for themselves.</w:t>
            </w:r>
          </w:p>
          <w:p w14:paraId="18979D13" w14:textId="3755C3BF" w:rsidR="00EF4CF8" w:rsidRPr="00326C14" w:rsidRDefault="00EF4CF8" w:rsidP="00565BD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 w:val="0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b w:val="0"/>
                <w:sz w:val="20"/>
              </w:rPr>
              <w:t>User pays option not appropriate.</w:t>
            </w:r>
          </w:p>
          <w:p w14:paraId="53F7FE35" w14:textId="611AC100" w:rsidR="004831F4" w:rsidRPr="00326C14" w:rsidRDefault="00EF4CF8" w:rsidP="004831F4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326C14">
              <w:rPr>
                <w:rFonts w:hint="eastAsia"/>
                <w:b w:val="0"/>
                <w:sz w:val="20"/>
                <w:szCs w:val="20"/>
              </w:rPr>
              <w:t xml:space="preserve">Where a visiting delegation is attending several events at multiple schools in the course of the day and/or there is </w:t>
            </w:r>
            <w:r w:rsidRPr="00326C14">
              <w:rPr>
                <w:b w:val="0"/>
                <w:sz w:val="20"/>
                <w:szCs w:val="20"/>
              </w:rPr>
              <w:t xml:space="preserve">a </w:t>
            </w:r>
            <w:r w:rsidRPr="00326C14">
              <w:rPr>
                <w:rFonts w:hint="eastAsia"/>
                <w:b w:val="0"/>
                <w:sz w:val="20"/>
                <w:szCs w:val="20"/>
              </w:rPr>
              <w:t>cultural expectation, the school hosting during the meal time can provide a light meal</w:t>
            </w:r>
            <w:r w:rsidRPr="00326C14">
              <w:rPr>
                <w:b w:val="0"/>
                <w:sz w:val="20"/>
                <w:szCs w:val="20"/>
              </w:rPr>
              <w:t>.</w:t>
            </w:r>
          </w:p>
        </w:tc>
      </w:tr>
      <w:tr w:rsidR="004831F4" w:rsidRPr="00F96586" w14:paraId="0FE5CB8F" w14:textId="77777777" w:rsidTr="0048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6F8301B7" w14:textId="6CEBB93C" w:rsidR="004831F4" w:rsidRPr="00565BDB" w:rsidRDefault="004831F4" w:rsidP="00565BDB">
            <w:pPr>
              <w:pStyle w:val="Hyp"/>
              <w:rPr>
                <w:sz w:val="20"/>
                <w:szCs w:val="20"/>
              </w:rPr>
            </w:pPr>
          </w:p>
        </w:tc>
      </w:tr>
    </w:tbl>
    <w:p w14:paraId="541FCCD7" w14:textId="4D51C80D" w:rsidR="00DB28FF" w:rsidRDefault="00AB12A9" w:rsidP="0010491D">
      <w:pPr>
        <w:spacing w:after="0" w:line="240" w:lineRule="auto"/>
        <w:ind w:left="284" w:hanging="284"/>
        <w:rPr>
          <w:sz w:val="18"/>
        </w:rPr>
      </w:pPr>
      <w:r w:rsidRPr="00652F13">
        <w:rPr>
          <w:rFonts w:eastAsia="Times New Roman" w:cstheme="minorHAnsi"/>
          <w:b/>
          <w:bCs/>
        </w:rPr>
        <w:lastRenderedPageBreak/>
        <w:t xml:space="preserve">Catering </w:t>
      </w:r>
      <w:r w:rsidR="005D4CE2">
        <w:rPr>
          <w:rFonts w:eastAsia="Times New Roman" w:cstheme="minorHAnsi"/>
          <w:b/>
        </w:rPr>
        <w:t xml:space="preserve">for </w:t>
      </w:r>
      <w:r>
        <w:rPr>
          <w:rFonts w:eastAsia="Times New Roman" w:cstheme="minorHAnsi"/>
          <w:b/>
        </w:rPr>
        <w:t>departmental staff and meetings</w:t>
      </w:r>
    </w:p>
    <w:tbl>
      <w:tblPr>
        <w:tblStyle w:val="LightShading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0"/>
        <w:gridCol w:w="987"/>
        <w:gridCol w:w="989"/>
      </w:tblGrid>
      <w:tr w:rsidR="00DB28FF" w:rsidRPr="00E97B12" w14:paraId="6E264A9E" w14:textId="77777777" w:rsidTr="00EF4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30E48550" w14:textId="69E81482" w:rsidR="00AB12A9" w:rsidRPr="00CD6376" w:rsidRDefault="00B025A4" w:rsidP="004B6873">
            <w:pPr>
              <w:pStyle w:val="Hyp"/>
              <w:numPr>
                <w:ilvl w:val="0"/>
                <w:numId w:val="1"/>
              </w:numPr>
              <w:spacing w:before="60"/>
              <w:ind w:left="357" w:hanging="357"/>
              <w:rPr>
                <w:b w:val="0"/>
                <w:sz w:val="20"/>
                <w:szCs w:val="20"/>
              </w:rPr>
            </w:pPr>
            <w:r w:rsidRPr="00CD6376">
              <w:rPr>
                <w:b w:val="0"/>
                <w:sz w:val="20"/>
                <w:szCs w:val="20"/>
              </w:rPr>
              <w:t>Refer to the</w:t>
            </w:r>
            <w:r w:rsidR="00CD6376" w:rsidRPr="00CD6376">
              <w:rPr>
                <w:b w:val="0"/>
                <w:sz w:val="20"/>
                <w:szCs w:val="20"/>
              </w:rPr>
              <w:t xml:space="preserve"> Public Service Commission’s </w:t>
            </w:r>
            <w:hyperlink r:id="rId14" w:history="1">
              <w:r w:rsidR="00CD6376" w:rsidRPr="00CD6376">
                <w:rPr>
                  <w:rStyle w:val="Hyperlink"/>
                  <w:b w:val="0"/>
                  <w:sz w:val="20"/>
                  <w:szCs w:val="20"/>
                </w:rPr>
                <w:t>Di</w:t>
              </w:r>
              <w:r w:rsidR="00CD6376" w:rsidRPr="00CD6376">
                <w:rPr>
                  <w:rStyle w:val="Hyperlink"/>
                  <w:b w:val="0"/>
                  <w:sz w:val="20"/>
                  <w:szCs w:val="20"/>
                </w:rPr>
                <w:t>r</w:t>
              </w:r>
              <w:r w:rsidR="00CD6376" w:rsidRPr="00CD6376">
                <w:rPr>
                  <w:rStyle w:val="Hyperlink"/>
                  <w:b w:val="0"/>
                  <w:sz w:val="20"/>
                  <w:szCs w:val="20"/>
                </w:rPr>
                <w:t>ective 02/18</w:t>
              </w:r>
            </w:hyperlink>
            <w:r w:rsidR="00CD6376" w:rsidRPr="00CD6376">
              <w:rPr>
                <w:b w:val="0"/>
                <w:sz w:val="20"/>
                <w:szCs w:val="20"/>
              </w:rPr>
              <w:t xml:space="preserve"> (Hours, Overtime and Excess Travel) to determine if the provision of a meal is an entitlement when an event is held over a meal time, and for indicative costings for meals where a meal is not an entitlement but is appropriate under these guidelines.</w:t>
            </w:r>
          </w:p>
          <w:p w14:paraId="79280018" w14:textId="43EDD5D8" w:rsidR="00F86593" w:rsidRPr="00483B66" w:rsidRDefault="00483B66" w:rsidP="005D4CE2">
            <w:pPr>
              <w:pStyle w:val="Hyp"/>
              <w:numPr>
                <w:ilvl w:val="0"/>
                <w:numId w:val="1"/>
              </w:numPr>
              <w:ind w:left="357" w:hanging="35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</w:t>
            </w:r>
            <w:r w:rsidRPr="00483B66">
              <w:rPr>
                <w:b w:val="0"/>
                <w:sz w:val="20"/>
                <w:szCs w:val="20"/>
              </w:rPr>
              <w:t>elegates may choose for events or activities to be self-catered by attendees, or to offer/upgrade catering on a user pays and cost recovery basis. This includes activities where catering using departmental funding is indicated as not appropriate [N].</w:t>
            </w:r>
          </w:p>
          <w:p w14:paraId="41337925" w14:textId="26AF3124" w:rsidR="00DB28FF" w:rsidRPr="00DE5523" w:rsidRDefault="00AB12A9" w:rsidP="005D4CE2">
            <w:pPr>
              <w:pStyle w:val="Hyp"/>
              <w:numPr>
                <w:ilvl w:val="0"/>
                <w:numId w:val="1"/>
              </w:numPr>
              <w:spacing w:after="120"/>
              <w:ind w:left="357" w:hanging="357"/>
              <w:rPr>
                <w:rFonts w:eastAsia="Times New Roman" w:cstheme="minorHAnsi"/>
                <w:sz w:val="20"/>
              </w:rPr>
            </w:pPr>
            <w:r w:rsidRPr="00AB12A9">
              <w:rPr>
                <w:b w:val="0"/>
                <w:sz w:val="20"/>
                <w:szCs w:val="20"/>
              </w:rPr>
              <w:t xml:space="preserve">Delegates must also consider the </w:t>
            </w:r>
            <w:hyperlink r:id="rId15" w:history="1">
              <w:r w:rsidRPr="00AB12A9">
                <w:rPr>
                  <w:rStyle w:val="Hyperlink"/>
                  <w:b w:val="0"/>
                  <w:sz w:val="20"/>
                  <w:szCs w:val="20"/>
                </w:rPr>
                <w:t>Fringe Benefits Ta</w:t>
              </w:r>
              <w:r w:rsidRPr="00AB12A9">
                <w:rPr>
                  <w:rStyle w:val="Hyperlink"/>
                  <w:b w:val="0"/>
                  <w:sz w:val="20"/>
                  <w:szCs w:val="20"/>
                </w:rPr>
                <w:t>x</w:t>
              </w:r>
              <w:r w:rsidRPr="00AB12A9">
                <w:rPr>
                  <w:rStyle w:val="Hyperlink"/>
                  <w:b w:val="0"/>
                  <w:sz w:val="20"/>
                  <w:szCs w:val="20"/>
                </w:rPr>
                <w:t xml:space="preserve"> Entertainment G</w:t>
              </w:r>
              <w:r w:rsidRPr="00AB12A9">
                <w:rPr>
                  <w:rStyle w:val="Hyperlink"/>
                  <w:b w:val="0"/>
                  <w:sz w:val="20"/>
                  <w:szCs w:val="20"/>
                </w:rPr>
                <w:t>u</w:t>
              </w:r>
              <w:r w:rsidRPr="00AB12A9">
                <w:rPr>
                  <w:rStyle w:val="Hyperlink"/>
                  <w:b w:val="0"/>
                  <w:sz w:val="20"/>
                  <w:szCs w:val="20"/>
                </w:rPr>
                <w:t>idelines</w:t>
              </w:r>
            </w:hyperlink>
            <w:r w:rsidRPr="00AB12A9">
              <w:rPr>
                <w:b w:val="0"/>
                <w:sz w:val="20"/>
                <w:szCs w:val="20"/>
              </w:rPr>
              <w:t xml:space="preserve"> (DoE employees only) in making </w:t>
            </w:r>
            <w:r w:rsidRPr="00AB12A9">
              <w:rPr>
                <w:rStyle w:val="Hyperlink"/>
                <w:b w:val="0"/>
                <w:color w:val="auto"/>
                <w:sz w:val="20"/>
                <w:szCs w:val="20"/>
                <w:u w:val="none"/>
              </w:rPr>
              <w:t>decisions</w:t>
            </w:r>
            <w:r w:rsidRPr="00AB12A9">
              <w:rPr>
                <w:b w:val="0"/>
                <w:sz w:val="20"/>
                <w:szCs w:val="20"/>
              </w:rPr>
              <w:t xml:space="preserve"> about catering for departmental activities.</w:t>
            </w:r>
          </w:p>
        </w:tc>
        <w:tc>
          <w:tcPr>
            <w:tcW w:w="468" w:type="pct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  <w:textDirection w:val="btLr"/>
            <w:vAlign w:val="center"/>
          </w:tcPr>
          <w:p w14:paraId="6EBB5555" w14:textId="14533BB4" w:rsidR="00DB28FF" w:rsidRPr="00AB12A9" w:rsidRDefault="004831F4" w:rsidP="0009353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</w:t>
            </w:r>
            <w:r w:rsidR="00DB28FF" w:rsidRPr="00AB12A9">
              <w:rPr>
                <w:rFonts w:eastAsia="Times New Roman" w:cstheme="minorHAnsi"/>
                <w:sz w:val="20"/>
                <w:szCs w:val="20"/>
              </w:rPr>
              <w:t xml:space="preserve">ight refreshments </w:t>
            </w:r>
          </w:p>
        </w:tc>
        <w:tc>
          <w:tcPr>
            <w:tcW w:w="469" w:type="pct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  <w:textDirection w:val="btLr"/>
            <w:vAlign w:val="center"/>
          </w:tcPr>
          <w:p w14:paraId="23C5965E" w14:textId="79619D18" w:rsidR="00DB28FF" w:rsidRPr="00AB12A9" w:rsidRDefault="00DB28FF" w:rsidP="0009353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AB12A9">
              <w:rPr>
                <w:rFonts w:eastAsia="Times New Roman" w:cstheme="minorHAnsi"/>
                <w:bCs w:val="0"/>
                <w:sz w:val="20"/>
                <w:szCs w:val="20"/>
              </w:rPr>
              <w:t>Light m</w:t>
            </w:r>
            <w:r w:rsidRPr="00AB12A9">
              <w:rPr>
                <w:rFonts w:eastAsia="Times New Roman" w:cstheme="minorHAnsi"/>
                <w:sz w:val="20"/>
                <w:szCs w:val="20"/>
              </w:rPr>
              <w:t xml:space="preserve">eals </w:t>
            </w:r>
          </w:p>
        </w:tc>
      </w:tr>
      <w:tr w:rsidR="00DB28FF" w:rsidRPr="00F96586" w14:paraId="79D4A42A" w14:textId="77777777" w:rsidTr="00EF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2F14A57" w14:textId="3CE1ECAF" w:rsidR="00DB28FF" w:rsidRPr="00F96586" w:rsidRDefault="00DB28FF" w:rsidP="00153083">
            <w:pPr>
              <w:rPr>
                <w:rFonts w:eastAsia="Times New Roman" w:cstheme="minorHAnsi"/>
                <w:b w:val="0"/>
                <w:sz w:val="20"/>
              </w:rPr>
            </w:pPr>
            <w:r w:rsidRPr="00F96586">
              <w:rPr>
                <w:rFonts w:eastAsia="Times New Roman" w:cstheme="minorHAnsi"/>
                <w:color w:val="auto"/>
                <w:sz w:val="20"/>
              </w:rPr>
              <w:t>Meetings</w:t>
            </w:r>
            <w:r>
              <w:rPr>
                <w:rFonts w:eastAsia="Times New Roman" w:cstheme="minorHAnsi"/>
                <w:color w:val="auto"/>
                <w:sz w:val="20"/>
              </w:rPr>
              <w:t xml:space="preserve"> and school events</w:t>
            </w:r>
          </w:p>
        </w:tc>
        <w:tc>
          <w:tcPr>
            <w:tcW w:w="468" w:type="pct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DBDD960" w14:textId="77777777" w:rsidR="00DB28FF" w:rsidRPr="00F96586" w:rsidRDefault="00DB28FF" w:rsidP="0009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74915C2" w14:textId="77777777" w:rsidR="00DB28FF" w:rsidRPr="00F96586" w:rsidRDefault="00DB28FF" w:rsidP="0009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65529" w:rsidRPr="00F96586" w14:paraId="7DFC47D7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1EEF0E" w14:textId="538C35BC" w:rsidR="00565529" w:rsidRPr="00F96586" w:rsidRDefault="00565529" w:rsidP="004831F4">
            <w:pPr>
              <w:ind w:left="227"/>
              <w:rPr>
                <w:rFonts w:eastAsia="Times New Roman" w:cstheme="minorHAnsi"/>
                <w:sz w:val="20"/>
              </w:rPr>
            </w:pPr>
            <w:r w:rsidRPr="00AD4706">
              <w:rPr>
                <w:rFonts w:eastAsia="Times New Roman" w:cstheme="minorHAnsi"/>
                <w:b w:val="0"/>
                <w:sz w:val="20"/>
              </w:rPr>
              <w:t xml:space="preserve">Staff working </w:t>
            </w:r>
            <w:r w:rsidR="00D90B3E">
              <w:rPr>
                <w:rFonts w:eastAsia="Times New Roman" w:cstheme="minorHAnsi"/>
                <w:b w:val="0"/>
                <w:sz w:val="20"/>
              </w:rPr>
              <w:t xml:space="preserve">at </w:t>
            </w:r>
            <w:r>
              <w:rPr>
                <w:rFonts w:eastAsia="Times New Roman" w:cstheme="minorHAnsi"/>
                <w:b w:val="0"/>
                <w:sz w:val="20"/>
              </w:rPr>
              <w:t xml:space="preserve">school/community engagement events </w:t>
            </w:r>
            <w:r w:rsidRPr="00AD4706">
              <w:rPr>
                <w:rFonts w:eastAsia="Times New Roman" w:cstheme="minorHAnsi"/>
                <w:b w:val="0"/>
                <w:sz w:val="20"/>
              </w:rPr>
              <w:t>after hours</w:t>
            </w:r>
            <w:r>
              <w:rPr>
                <w:rFonts w:eastAsia="Times New Roman" w:cstheme="minorHAnsi"/>
                <w:b w:val="0"/>
                <w:sz w:val="20"/>
              </w:rPr>
              <w:t xml:space="preserve"> or over a meal time</w:t>
            </w:r>
            <w:r>
              <w:rPr>
                <w:rFonts w:eastAsia="Times New Roman" w:cstheme="minorHAnsi"/>
                <w:sz w:val="20"/>
                <w:vertAlign w:val="superscript"/>
              </w:rPr>
              <w:t xml:space="preserve"> </w:t>
            </w: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 xml:space="preserve">(e.g. </w:t>
            </w:r>
            <w:r>
              <w:rPr>
                <w:rFonts w:eastAsia="Times New Roman" w:cstheme="minorHAnsi"/>
                <w:b w:val="0"/>
                <w:color w:val="auto"/>
                <w:sz w:val="20"/>
              </w:rPr>
              <w:t>a</w:t>
            </w: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>wards nights</w:t>
            </w:r>
            <w:r>
              <w:rPr>
                <w:rFonts w:eastAsia="Times New Roman" w:cstheme="minorHAnsi"/>
                <w:b w:val="0"/>
                <w:color w:val="auto"/>
                <w:sz w:val="20"/>
              </w:rPr>
              <w:t xml:space="preserve">, </w:t>
            </w: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>graduation functions</w:t>
            </w:r>
            <w:r>
              <w:rPr>
                <w:rFonts w:eastAsia="Times New Roman" w:cstheme="minorHAnsi"/>
                <w:b w:val="0"/>
                <w:color w:val="auto"/>
                <w:sz w:val="20"/>
              </w:rPr>
              <w:t xml:space="preserve">, school concerts, </w:t>
            </w: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>parent-teacher interviews)</w:t>
            </w:r>
            <w:r>
              <w:rPr>
                <w:rFonts w:eastAsia="Times New Roman" w:cstheme="minorHAnsi"/>
                <w:b w:val="0"/>
                <w:color w:val="auto"/>
                <w:sz w:val="20"/>
              </w:rPr>
              <w:t xml:space="preserve"> </w:t>
            </w:r>
            <w:r w:rsidR="004B6873" w:rsidRPr="004B6873">
              <w:rPr>
                <w:rFonts w:eastAsia="Times New Roman" w:cstheme="minorHAnsi"/>
                <w:b w:val="0"/>
                <w:color w:val="auto"/>
                <w:sz w:val="20"/>
                <w:vertAlign w:val="superscript"/>
              </w:rPr>
              <w:t>1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3C5A050" w14:textId="29B8CB06" w:rsidR="00565529" w:rsidRPr="00F96586" w:rsidRDefault="00565529" w:rsidP="00565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FA3E7B0" w14:textId="31515FA0" w:rsidR="00565529" w:rsidRPr="00F96586" w:rsidRDefault="00565529" w:rsidP="00565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</w:tr>
      <w:tr w:rsidR="00565529" w:rsidRPr="00F96586" w14:paraId="5A412621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DAAE6A7" w14:textId="77DEFAEF" w:rsidR="00565529" w:rsidRPr="00F96586" w:rsidRDefault="00565529" w:rsidP="004831F4">
            <w:pPr>
              <w:ind w:left="227"/>
              <w:rPr>
                <w:rFonts w:eastAsia="Times New Roman" w:cstheme="minorHAnsi"/>
                <w:sz w:val="20"/>
              </w:rPr>
            </w:pPr>
            <w:r w:rsidRPr="00F96586">
              <w:rPr>
                <w:rFonts w:eastAsia="Times New Roman" w:cstheme="minorHAnsi"/>
                <w:b w:val="0"/>
                <w:sz w:val="20"/>
              </w:rPr>
              <w:t>P&amp;C / School Council / Student Council (or sub-committees) meetings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05F7733" w14:textId="2E048ED1" w:rsidR="00565529" w:rsidRPr="00F96586" w:rsidRDefault="00565529" w:rsidP="0056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96CB3F8" w14:textId="7FE7BA32" w:rsidR="00565529" w:rsidRPr="00F96586" w:rsidRDefault="00565529" w:rsidP="0056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DB28FF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565529" w:rsidRPr="00F96586" w14:paraId="24DE682C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060B5B4" w14:textId="59B73AD2" w:rsidR="00565529" w:rsidRPr="00F96586" w:rsidRDefault="00565529" w:rsidP="004831F4">
            <w:pPr>
              <w:ind w:left="227"/>
              <w:rPr>
                <w:rFonts w:eastAsia="Times New Roman" w:cstheme="minorHAnsi"/>
                <w:b w:val="0"/>
                <w:sz w:val="20"/>
              </w:rPr>
            </w:pPr>
            <w:r w:rsidRPr="00F96586">
              <w:rPr>
                <w:rFonts w:eastAsia="Times New Roman" w:cstheme="minorHAnsi"/>
                <w:b w:val="0"/>
                <w:color w:val="auto"/>
                <w:sz w:val="20"/>
              </w:rPr>
              <w:t>Internal meetings / planning days / training and professional development / recruitment ≥ 2 hours OR held during normal meal times OR outside normal working hours OR held offsite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9277B93" w14:textId="65588086" w:rsidR="00565529" w:rsidRPr="00F96586" w:rsidRDefault="00565529" w:rsidP="00565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ABCB7A8" w14:textId="0F4786A6" w:rsidR="00565529" w:rsidRPr="00F96586" w:rsidRDefault="00565529" w:rsidP="00565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F96586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</w:tr>
      <w:tr w:rsidR="00565529" w:rsidRPr="00F96586" w14:paraId="721C9631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34F260C" w14:textId="17C60637" w:rsidR="00565529" w:rsidRPr="00326C14" w:rsidRDefault="00565529" w:rsidP="004831F4">
            <w:pPr>
              <w:ind w:left="227"/>
              <w:rPr>
                <w:rFonts w:eastAsia="Times New Roman" w:cstheme="minorHAnsi"/>
                <w:b w:val="0"/>
                <w:sz w:val="20"/>
              </w:rPr>
            </w:pPr>
            <w:r w:rsidRPr="00326C14">
              <w:rPr>
                <w:rFonts w:eastAsia="Times New Roman" w:cstheme="minorHAnsi"/>
                <w:b w:val="0"/>
                <w:color w:val="auto"/>
                <w:sz w:val="20"/>
              </w:rPr>
              <w:t>Internal meetings / planning days / training and professional development / recruitment &lt; 2 hours AND within normal working hours AND onsite</w:t>
            </w:r>
            <w:r w:rsidR="00D90B3E" w:rsidRPr="00326C14">
              <w:rPr>
                <w:rFonts w:eastAsia="Times New Roman" w:cstheme="minorHAnsi"/>
                <w:b w:val="0"/>
                <w:color w:val="auto"/>
                <w:sz w:val="20"/>
              </w:rPr>
              <w:t xml:space="preserve"> </w:t>
            </w:r>
            <w:r w:rsidR="004B6873" w:rsidRPr="00326C14">
              <w:rPr>
                <w:rFonts w:eastAsia="Times New Roman" w:cstheme="minorHAnsi"/>
                <w:b w:val="0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E734778" w14:textId="544EB518" w:rsidR="00565529" w:rsidRPr="00326C14" w:rsidRDefault="00565529" w:rsidP="0056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7898768" w14:textId="6A862D7C" w:rsidR="00565529" w:rsidRPr="00326C14" w:rsidRDefault="00565529" w:rsidP="0056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565529" w:rsidRPr="00F96586" w14:paraId="4312B564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DBAC7EB" w14:textId="11543FCA" w:rsidR="00565529" w:rsidRPr="00326C14" w:rsidRDefault="00565529" w:rsidP="004831F4">
            <w:pPr>
              <w:ind w:left="227"/>
              <w:rPr>
                <w:rFonts w:eastAsia="Times New Roman" w:cstheme="minorHAnsi"/>
                <w:b w:val="0"/>
                <w:sz w:val="20"/>
              </w:rPr>
            </w:pPr>
            <w:r w:rsidRPr="00326C14">
              <w:rPr>
                <w:rFonts w:eastAsia="Times New Roman" w:cstheme="minorHAnsi"/>
                <w:b w:val="0"/>
                <w:color w:val="auto"/>
                <w:sz w:val="20"/>
              </w:rPr>
              <w:t xml:space="preserve">Meetings with customers and stakeholders </w:t>
            </w:r>
            <w:r w:rsidRPr="00326C14">
              <w:rPr>
                <w:rStyle w:val="CommentReference"/>
                <w:b w:val="0"/>
                <w:bCs w:val="0"/>
                <w:color w:val="auto"/>
                <w:sz w:val="20"/>
                <w:szCs w:val="20"/>
              </w:rPr>
              <w:t>e</w:t>
            </w:r>
            <w:r w:rsidRPr="00326C14">
              <w:rPr>
                <w:rStyle w:val="CommentReference"/>
                <w:b w:val="0"/>
                <w:sz w:val="20"/>
                <w:szCs w:val="20"/>
              </w:rPr>
              <w:t xml:space="preserve">xternal to the department </w:t>
            </w:r>
            <w:r w:rsidR="002A36C0" w:rsidRPr="00326C14">
              <w:rPr>
                <w:rFonts w:eastAsia="Times New Roman" w:cstheme="minorHAnsi"/>
                <w:b w:val="0"/>
                <w:color w:val="auto"/>
                <w:sz w:val="20"/>
              </w:rPr>
              <w:t>≥ 2 hours OR held during normal meal times OR outside normal working hours OR held offsite</w:t>
            </w:r>
            <w:r w:rsidR="00D90B3E" w:rsidRPr="00326C14">
              <w:rPr>
                <w:rFonts w:eastAsia="Times New Roman" w:cstheme="minorHAnsi"/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1944E6D" w14:textId="366E797F" w:rsidR="00565529" w:rsidRPr="00326C14" w:rsidRDefault="002A36C0" w:rsidP="00565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1916D17" w14:textId="41C0E334" w:rsidR="00565529" w:rsidRPr="00326C14" w:rsidRDefault="002A36C0" w:rsidP="00565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</w:tr>
      <w:tr w:rsidR="00CB1CD1" w:rsidRPr="00F96586" w14:paraId="73DD6BCB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9A0F910" w14:textId="1278BEC1" w:rsidR="00CB1CD1" w:rsidRPr="00326C14" w:rsidRDefault="00CB1CD1" w:rsidP="004831F4">
            <w:pPr>
              <w:ind w:left="227"/>
              <w:rPr>
                <w:rFonts w:eastAsia="Times New Roman" w:cstheme="minorHAnsi"/>
                <w:sz w:val="20"/>
              </w:rPr>
            </w:pPr>
            <w:r w:rsidRPr="00326C14">
              <w:rPr>
                <w:rFonts w:eastAsia="Times New Roman" w:cstheme="minorHAnsi"/>
                <w:b w:val="0"/>
                <w:color w:val="auto"/>
                <w:sz w:val="20"/>
              </w:rPr>
              <w:t xml:space="preserve">Meetings with customers and stakeholders </w:t>
            </w:r>
            <w:r w:rsidRPr="00326C14">
              <w:rPr>
                <w:rStyle w:val="CommentReference"/>
                <w:b w:val="0"/>
                <w:bCs w:val="0"/>
                <w:color w:val="auto"/>
                <w:sz w:val="20"/>
                <w:szCs w:val="20"/>
              </w:rPr>
              <w:t>e</w:t>
            </w:r>
            <w:r w:rsidRPr="00326C14">
              <w:rPr>
                <w:rStyle w:val="CommentReference"/>
                <w:b w:val="0"/>
                <w:sz w:val="20"/>
                <w:szCs w:val="20"/>
              </w:rPr>
              <w:t xml:space="preserve">xternal to the department </w:t>
            </w:r>
            <w:r w:rsidR="002A36C0" w:rsidRPr="00326C14">
              <w:rPr>
                <w:rFonts w:eastAsia="Times New Roman" w:cstheme="minorHAnsi"/>
                <w:b w:val="0"/>
                <w:color w:val="auto"/>
                <w:sz w:val="20"/>
              </w:rPr>
              <w:t xml:space="preserve">&lt; 2 hours AND within normal working hours AND </w:t>
            </w:r>
            <w:r w:rsidR="00D90B3E" w:rsidRPr="00326C14">
              <w:rPr>
                <w:rFonts w:eastAsia="Times New Roman" w:cstheme="minorHAnsi"/>
                <w:b w:val="0"/>
                <w:color w:val="auto"/>
                <w:sz w:val="20"/>
              </w:rPr>
              <w:t>onsite</w:t>
            </w:r>
            <w:r w:rsidR="00D90B3E" w:rsidRPr="00326C14">
              <w:rPr>
                <w:rFonts w:eastAsia="Times New Roman" w:cstheme="minorHAnsi"/>
                <w:b w:val="0"/>
                <w:color w:val="auto"/>
                <w:sz w:val="20"/>
                <w:vertAlign w:val="superscript"/>
              </w:rPr>
              <w:t xml:space="preserve"> </w:t>
            </w:r>
            <w:r w:rsidR="004B6873" w:rsidRPr="00326C14">
              <w:rPr>
                <w:rFonts w:eastAsia="Times New Roman" w:cstheme="minorHAnsi"/>
                <w:b w:val="0"/>
                <w:color w:val="auto"/>
                <w:sz w:val="20"/>
                <w:vertAlign w:val="superscript"/>
              </w:rPr>
              <w:t>2, 3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F7FE55B" w14:textId="66183178" w:rsidR="00CB1CD1" w:rsidRPr="00326C14" w:rsidRDefault="002A36C0" w:rsidP="00CB1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88EA85A" w14:textId="6EF254B1" w:rsidR="00CB1CD1" w:rsidRPr="00326C14" w:rsidRDefault="00CB1CD1" w:rsidP="00CB1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CB1CD1" w:rsidRPr="00F96586" w14:paraId="2CAC0E0B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0932AD" w14:textId="440135BB" w:rsidR="00CB1CD1" w:rsidRPr="00326C14" w:rsidRDefault="00CB1CD1" w:rsidP="004831F4">
            <w:pPr>
              <w:ind w:left="227"/>
              <w:rPr>
                <w:rFonts w:eastAsia="Times New Roman" w:cstheme="minorHAnsi"/>
                <w:sz w:val="20"/>
              </w:rPr>
            </w:pPr>
            <w:r w:rsidRPr="00326C14">
              <w:rPr>
                <w:rFonts w:eastAsia="Times New Roman" w:cstheme="minorHAnsi"/>
                <w:b w:val="0"/>
                <w:color w:val="auto"/>
                <w:sz w:val="20"/>
              </w:rPr>
              <w:t xml:space="preserve">Consultants working </w:t>
            </w:r>
            <w:r w:rsidR="00615383" w:rsidRPr="00326C14">
              <w:rPr>
                <w:rFonts w:eastAsia="Times New Roman" w:cstheme="minorHAnsi"/>
                <w:b w:val="0"/>
                <w:color w:val="auto"/>
                <w:sz w:val="20"/>
              </w:rPr>
              <w:t>onsite or with departmental staff</w:t>
            </w:r>
            <w:r w:rsidR="00D90B3E" w:rsidRPr="00326C14">
              <w:rPr>
                <w:rFonts w:eastAsia="Times New Roman" w:cstheme="minorHAnsi"/>
                <w:b w:val="0"/>
                <w:color w:val="auto"/>
                <w:sz w:val="20"/>
              </w:rPr>
              <w:t xml:space="preserve"> </w:t>
            </w:r>
            <w:r w:rsidR="00BF195E" w:rsidRPr="00326C14">
              <w:rPr>
                <w:rFonts w:eastAsia="Times New Roman" w:cstheme="minorHAnsi"/>
                <w:b w:val="0"/>
                <w:sz w:val="20"/>
                <w:vertAlign w:val="superscript"/>
              </w:rPr>
              <w:t>4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EE9FACD" w14:textId="6B16D040" w:rsidR="00CB1CD1" w:rsidRPr="00326C14" w:rsidRDefault="00CB1CD1" w:rsidP="00CB1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147704E" w14:textId="6540092E" w:rsidR="00CB1CD1" w:rsidRPr="00326C14" w:rsidRDefault="00CB1CD1" w:rsidP="00CB1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CB1CD1" w:rsidRPr="00F96586" w14:paraId="292BDDE5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9E80D28" w14:textId="47EBC946" w:rsidR="00CB1CD1" w:rsidRPr="00326C14" w:rsidRDefault="00CB1CD1" w:rsidP="00CB1CD1">
            <w:pPr>
              <w:rPr>
                <w:rFonts w:eastAsia="Times New Roman" w:cstheme="minorHAnsi"/>
                <w:b w:val="0"/>
                <w:sz w:val="20"/>
              </w:rPr>
            </w:pPr>
            <w:r w:rsidRPr="00326C14">
              <w:rPr>
                <w:rFonts w:eastAsia="Times New Roman" w:cstheme="minorHAnsi"/>
                <w:color w:val="auto"/>
                <w:sz w:val="20"/>
              </w:rPr>
              <w:t>Staff events and activities</w:t>
            </w:r>
            <w:r w:rsidR="00BF195E" w:rsidRPr="00326C14">
              <w:rPr>
                <w:rFonts w:eastAsia="Times New Roman" w:cstheme="minorHAnsi"/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64D9EC9" w14:textId="77777777" w:rsidR="00CB1CD1" w:rsidRPr="00326C14" w:rsidRDefault="00CB1CD1" w:rsidP="00CB1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AD14408" w14:textId="77777777" w:rsidR="00CB1CD1" w:rsidRPr="00326C14" w:rsidRDefault="00CB1CD1" w:rsidP="00CB1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B1CD1" w:rsidRPr="00F96586" w14:paraId="65C053E6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9F5470" w14:textId="19848C43" w:rsidR="00CB1CD1" w:rsidRPr="00326C14" w:rsidRDefault="00CB1CD1" w:rsidP="004831F4">
            <w:pPr>
              <w:ind w:left="340" w:hanging="113"/>
              <w:rPr>
                <w:rFonts w:eastAsia="Times New Roman" w:cstheme="minorHAnsi"/>
                <w:b w:val="0"/>
                <w:sz w:val="20"/>
              </w:rPr>
            </w:pPr>
            <w:r w:rsidRPr="00326C14">
              <w:rPr>
                <w:rFonts w:eastAsia="Times New Roman" w:cstheme="minorHAnsi"/>
                <w:b w:val="0"/>
                <w:sz w:val="20"/>
              </w:rPr>
              <w:t>Staff appreciation</w:t>
            </w:r>
            <w:r w:rsidR="000E6CD7" w:rsidRPr="00326C14">
              <w:rPr>
                <w:rFonts w:eastAsia="Times New Roman" w:cstheme="minorHAnsi"/>
                <w:b w:val="0"/>
                <w:sz w:val="20"/>
              </w:rPr>
              <w:t xml:space="preserve">, </w:t>
            </w:r>
            <w:r w:rsidRPr="00326C14">
              <w:rPr>
                <w:rFonts w:eastAsia="Times New Roman" w:cstheme="minorHAnsi"/>
                <w:b w:val="0"/>
                <w:sz w:val="20"/>
              </w:rPr>
              <w:t>rewards</w:t>
            </w:r>
            <w:r w:rsidR="00D90B3E" w:rsidRPr="00326C14">
              <w:rPr>
                <w:rFonts w:eastAsia="Times New Roman" w:cstheme="minorHAnsi"/>
                <w:b w:val="0"/>
                <w:sz w:val="20"/>
              </w:rPr>
              <w:t xml:space="preserve">, recognition </w:t>
            </w:r>
            <w:r w:rsidR="00615383" w:rsidRPr="00326C14">
              <w:rPr>
                <w:rFonts w:eastAsia="Times New Roman" w:cstheme="minorHAnsi"/>
                <w:b w:val="0"/>
                <w:sz w:val="20"/>
              </w:rPr>
              <w:t>or celebrations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B7706FC" w14:textId="77777777" w:rsidR="00CB1CD1" w:rsidRPr="00326C14" w:rsidRDefault="00CB1CD1" w:rsidP="00CB1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053B129" w14:textId="77777777" w:rsidR="00CB1CD1" w:rsidRPr="00326C14" w:rsidRDefault="00CB1CD1" w:rsidP="00CB1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CB1CD1" w:rsidRPr="00F96586" w14:paraId="60F21BE9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646B4D2" w14:textId="77777777" w:rsidR="00CB1CD1" w:rsidRPr="00326C14" w:rsidRDefault="00CB1CD1" w:rsidP="004831F4">
            <w:pPr>
              <w:ind w:left="340" w:hanging="113"/>
              <w:rPr>
                <w:rFonts w:eastAsia="Times New Roman" w:cstheme="minorHAnsi"/>
                <w:b w:val="0"/>
                <w:sz w:val="20"/>
              </w:rPr>
            </w:pPr>
            <w:r w:rsidRPr="00326C14">
              <w:rPr>
                <w:rFonts w:eastAsia="Times New Roman" w:cstheme="minorHAnsi"/>
                <w:b w:val="0"/>
                <w:color w:val="auto"/>
                <w:sz w:val="20"/>
              </w:rPr>
              <w:t>Staff Social Club functions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1939AA1" w14:textId="77777777" w:rsidR="00CB1CD1" w:rsidRPr="00326C14" w:rsidRDefault="00CB1CD1" w:rsidP="00CB1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69FF120" w14:textId="77777777" w:rsidR="00CB1CD1" w:rsidRPr="00326C14" w:rsidRDefault="00CB1CD1" w:rsidP="00CB1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CB1CD1" w:rsidRPr="00F96586" w14:paraId="58C67A67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5F8EE0" w14:textId="77777777" w:rsidR="00CB1CD1" w:rsidRPr="00326C14" w:rsidRDefault="00CB1CD1" w:rsidP="004831F4">
            <w:pPr>
              <w:ind w:left="340" w:hanging="113"/>
              <w:rPr>
                <w:rFonts w:eastAsia="Times New Roman" w:cstheme="minorHAnsi"/>
                <w:b w:val="0"/>
                <w:sz w:val="20"/>
              </w:rPr>
            </w:pPr>
            <w:r w:rsidRPr="00326C14">
              <w:rPr>
                <w:rFonts w:cstheme="minorHAnsi" w:hint="eastAsia"/>
                <w:b w:val="0"/>
                <w:sz w:val="20"/>
              </w:rPr>
              <w:t xml:space="preserve">Staff end of </w:t>
            </w:r>
            <w:r w:rsidRPr="00326C14">
              <w:rPr>
                <w:rFonts w:cstheme="minorHAnsi"/>
                <w:b w:val="0"/>
                <w:sz w:val="20"/>
              </w:rPr>
              <w:t>term/</w:t>
            </w:r>
            <w:r w:rsidRPr="00326C14">
              <w:rPr>
                <w:rFonts w:cstheme="minorHAnsi" w:hint="eastAsia"/>
                <w:b w:val="0"/>
                <w:sz w:val="20"/>
              </w:rPr>
              <w:t>year functions and Christmas parties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2F8E591" w14:textId="77777777" w:rsidR="00CB1CD1" w:rsidRPr="00326C14" w:rsidRDefault="00CB1CD1" w:rsidP="00CB1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cstheme="minorHAnsi" w:hint="eastAsia"/>
                <w:sz w:val="20"/>
                <w:szCs w:val="20"/>
              </w:rPr>
              <w:t>N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18BBC60" w14:textId="77777777" w:rsidR="00CB1CD1" w:rsidRPr="00326C14" w:rsidRDefault="00CB1CD1" w:rsidP="00CB1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cstheme="minorHAnsi" w:hint="eastAsia"/>
                <w:sz w:val="20"/>
                <w:szCs w:val="20"/>
              </w:rPr>
              <w:t>N</w:t>
            </w:r>
          </w:p>
        </w:tc>
      </w:tr>
      <w:tr w:rsidR="00CB1CD1" w:rsidRPr="00F96586" w14:paraId="23CADDA0" w14:textId="77777777" w:rsidTr="00AF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1529EDA" w14:textId="77777777" w:rsidR="00CB1CD1" w:rsidRPr="00326C14" w:rsidRDefault="00CB1CD1" w:rsidP="004831F4">
            <w:pPr>
              <w:ind w:left="340" w:hanging="113"/>
              <w:rPr>
                <w:rFonts w:eastAsia="Times New Roman" w:cstheme="minorHAnsi"/>
                <w:b w:val="0"/>
                <w:sz w:val="20"/>
              </w:rPr>
            </w:pPr>
            <w:r w:rsidRPr="00326C14">
              <w:rPr>
                <w:rFonts w:eastAsia="Times New Roman" w:cstheme="minorHAnsi"/>
                <w:b w:val="0"/>
                <w:sz w:val="20"/>
              </w:rPr>
              <w:t>Tea, coffee, milk, catering for staff rooms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9A4FE70" w14:textId="77777777" w:rsidR="00CB1CD1" w:rsidRPr="00326C14" w:rsidRDefault="00CB1CD1" w:rsidP="00CB1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9C20871" w14:textId="77777777" w:rsidR="00CB1CD1" w:rsidRPr="00326C14" w:rsidRDefault="00CB1CD1" w:rsidP="00CB1C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CB1CD1" w:rsidRPr="00F96586" w14:paraId="4990B421" w14:textId="77777777" w:rsidTr="00AF1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3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A4FF4B" w14:textId="238A1117" w:rsidR="00CB1CD1" w:rsidRPr="00326C14" w:rsidRDefault="00CB1CD1" w:rsidP="004831F4">
            <w:pPr>
              <w:ind w:left="340" w:hanging="113"/>
              <w:rPr>
                <w:rFonts w:eastAsia="Times New Roman" w:cstheme="minorHAnsi"/>
                <w:b w:val="0"/>
                <w:sz w:val="20"/>
              </w:rPr>
            </w:pPr>
            <w:r w:rsidRPr="00326C14">
              <w:rPr>
                <w:rFonts w:eastAsia="Times New Roman" w:cstheme="minorHAnsi"/>
                <w:b w:val="0"/>
                <w:sz w:val="20"/>
              </w:rPr>
              <w:t xml:space="preserve">Milestone </w:t>
            </w:r>
            <w:r w:rsidRPr="00326C14">
              <w:rPr>
                <w:rFonts w:cstheme="minorHAnsi" w:hint="eastAsia"/>
                <w:b w:val="0"/>
                <w:sz w:val="20"/>
              </w:rPr>
              <w:t xml:space="preserve">staff </w:t>
            </w:r>
            <w:r w:rsidRPr="00326C14">
              <w:rPr>
                <w:rFonts w:eastAsia="Times New Roman" w:cstheme="minorHAnsi"/>
                <w:b w:val="0"/>
                <w:sz w:val="20"/>
              </w:rPr>
              <w:t xml:space="preserve">celebrations (e.g. retirement, farewell, birthday, wedding, baby shower etc.) 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CE2B49E" w14:textId="77777777" w:rsidR="00CB1CD1" w:rsidRPr="00326C14" w:rsidRDefault="00CB1CD1" w:rsidP="00CB1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  <w:tc>
          <w:tcPr>
            <w:tcW w:w="469" w:type="pct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037D91C" w14:textId="77777777" w:rsidR="00CB1CD1" w:rsidRPr="00326C14" w:rsidRDefault="00CB1CD1" w:rsidP="00CB1C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sz w:val="20"/>
                <w:szCs w:val="20"/>
              </w:rPr>
              <w:t>N</w:t>
            </w:r>
          </w:p>
        </w:tc>
      </w:tr>
      <w:tr w:rsidR="0027528C" w:rsidRPr="00F96586" w14:paraId="621E2C4C" w14:textId="77777777" w:rsidTr="00275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AF490B" w14:textId="77777777" w:rsidR="0027528C" w:rsidRPr="00326C14" w:rsidRDefault="0027528C" w:rsidP="00EF4CF8">
            <w:pPr>
              <w:ind w:left="284" w:hanging="284"/>
              <w:rPr>
                <w:sz w:val="20"/>
                <w:szCs w:val="20"/>
              </w:rPr>
            </w:pPr>
            <w:r w:rsidRPr="00326C14">
              <w:rPr>
                <w:sz w:val="20"/>
                <w:szCs w:val="20"/>
              </w:rPr>
              <w:t>Notes:</w:t>
            </w:r>
          </w:p>
          <w:p w14:paraId="63921A56" w14:textId="77777777" w:rsidR="0027528C" w:rsidRPr="00326C14" w:rsidRDefault="0027528C" w:rsidP="004B6873">
            <w:pPr>
              <w:pStyle w:val="ListParagraph"/>
              <w:numPr>
                <w:ilvl w:val="0"/>
                <w:numId w:val="9"/>
              </w:numPr>
              <w:rPr>
                <w:b w:val="0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b w:val="0"/>
                <w:sz w:val="20"/>
              </w:rPr>
              <w:t>Where</w:t>
            </w:r>
            <w:r w:rsidRPr="00326C14">
              <w:rPr>
                <w:b w:val="0"/>
                <w:sz w:val="20"/>
                <w:szCs w:val="20"/>
              </w:rPr>
              <w:t xml:space="preserve"> a meal is not covered by a public service entitlement or allowance, light refreshments and/or light meals may be offered. </w:t>
            </w:r>
          </w:p>
          <w:p w14:paraId="7709524B" w14:textId="58DA5BF0" w:rsidR="0027528C" w:rsidRPr="00326C14" w:rsidRDefault="0027528C" w:rsidP="004B6873">
            <w:pPr>
              <w:pStyle w:val="ListParagraph"/>
              <w:numPr>
                <w:ilvl w:val="0"/>
                <w:numId w:val="9"/>
              </w:numPr>
              <w:rPr>
                <w:b w:val="0"/>
                <w:sz w:val="20"/>
                <w:szCs w:val="20"/>
              </w:rPr>
            </w:pPr>
            <w:r w:rsidRPr="00326C14">
              <w:rPr>
                <w:b w:val="0"/>
                <w:sz w:val="20"/>
                <w:szCs w:val="20"/>
              </w:rPr>
              <w:t>Staff may choose to meet offsite and purchase their own refreshments.</w:t>
            </w:r>
            <w:r w:rsidR="00BF195E" w:rsidRPr="00326C14">
              <w:rPr>
                <w:b w:val="0"/>
                <w:sz w:val="20"/>
                <w:szCs w:val="20"/>
              </w:rPr>
              <w:t xml:space="preserve"> </w:t>
            </w:r>
          </w:p>
          <w:p w14:paraId="60ED9E2F" w14:textId="77777777" w:rsidR="004B6873" w:rsidRPr="00326C14" w:rsidRDefault="004B6873" w:rsidP="00BF195E">
            <w:pPr>
              <w:pStyle w:val="ListParagraph"/>
              <w:numPr>
                <w:ilvl w:val="0"/>
                <w:numId w:val="9"/>
              </w:numPr>
              <w:rPr>
                <w:b w:val="0"/>
                <w:sz w:val="20"/>
                <w:szCs w:val="20"/>
              </w:rPr>
            </w:pPr>
            <w:r w:rsidRPr="00326C14">
              <w:rPr>
                <w:rFonts w:eastAsia="Times New Roman" w:cstheme="minorHAnsi"/>
                <w:b w:val="0"/>
                <w:sz w:val="20"/>
                <w:szCs w:val="20"/>
              </w:rPr>
              <w:t xml:space="preserve">Staff are reminded </w:t>
            </w:r>
            <w:r w:rsidRPr="00326C14">
              <w:rPr>
                <w:b w:val="0"/>
                <w:sz w:val="20"/>
                <w:szCs w:val="20"/>
              </w:rPr>
              <w:t>that</w:t>
            </w:r>
            <w:r w:rsidRPr="00326C14">
              <w:rPr>
                <w:rFonts w:eastAsia="Times New Roman" w:cstheme="minorHAnsi"/>
                <w:b w:val="0"/>
                <w:sz w:val="20"/>
                <w:szCs w:val="20"/>
              </w:rPr>
              <w:t xml:space="preserve"> when meetings with external customers and stakeholders are &lt; 2 hours, it is not appropriate to use departmental funds to purchase light refreshments for themselves.</w:t>
            </w:r>
          </w:p>
          <w:p w14:paraId="3BA70D85" w14:textId="5F443F95" w:rsidR="0027528C" w:rsidRPr="00326C14" w:rsidRDefault="0027528C" w:rsidP="00BF195E">
            <w:pPr>
              <w:pStyle w:val="ListParagraph"/>
              <w:numPr>
                <w:ilvl w:val="0"/>
                <w:numId w:val="9"/>
              </w:numPr>
              <w:rPr>
                <w:b w:val="0"/>
                <w:sz w:val="20"/>
                <w:szCs w:val="20"/>
              </w:rPr>
            </w:pPr>
            <w:r w:rsidRPr="00326C14">
              <w:rPr>
                <w:b w:val="0"/>
                <w:sz w:val="20"/>
                <w:szCs w:val="20"/>
              </w:rPr>
              <w:t>Catering may be provided for c</w:t>
            </w:r>
            <w:r w:rsidRPr="00326C14">
              <w:rPr>
                <w:rFonts w:hint="eastAsia"/>
                <w:b w:val="0"/>
                <w:sz w:val="20"/>
                <w:szCs w:val="20"/>
              </w:rPr>
              <w:t>onsultants</w:t>
            </w:r>
            <w:r w:rsidRPr="00326C14">
              <w:rPr>
                <w:b w:val="0"/>
                <w:sz w:val="20"/>
                <w:szCs w:val="20"/>
              </w:rPr>
              <w:t xml:space="preserve"> </w:t>
            </w:r>
            <w:r w:rsidRPr="00326C14">
              <w:rPr>
                <w:rFonts w:hint="eastAsia"/>
                <w:b w:val="0"/>
                <w:sz w:val="20"/>
                <w:szCs w:val="20"/>
              </w:rPr>
              <w:t xml:space="preserve">conducting </w:t>
            </w:r>
            <w:r w:rsidRPr="00326C14">
              <w:rPr>
                <w:b w:val="0"/>
                <w:sz w:val="20"/>
                <w:szCs w:val="20"/>
              </w:rPr>
              <w:t xml:space="preserve">activities such as </w:t>
            </w:r>
            <w:r w:rsidRPr="00326C14">
              <w:rPr>
                <w:rFonts w:hint="eastAsia"/>
                <w:b w:val="0"/>
                <w:sz w:val="20"/>
                <w:szCs w:val="20"/>
              </w:rPr>
              <w:t>planning sessions or professional development</w:t>
            </w:r>
            <w:r w:rsidRPr="00326C14">
              <w:rPr>
                <w:b w:val="0"/>
                <w:sz w:val="20"/>
                <w:szCs w:val="20"/>
              </w:rPr>
              <w:t xml:space="preserve"> for departmental employees</w:t>
            </w:r>
            <w:r w:rsidRPr="00326C14">
              <w:rPr>
                <w:rFonts w:hint="eastAsia"/>
                <w:b w:val="0"/>
                <w:sz w:val="20"/>
                <w:szCs w:val="20"/>
              </w:rPr>
              <w:t xml:space="preserve"> where catering is provided for </w:t>
            </w:r>
            <w:r w:rsidRPr="00326C14">
              <w:rPr>
                <w:b w:val="0"/>
                <w:sz w:val="20"/>
                <w:szCs w:val="20"/>
              </w:rPr>
              <w:t>the participating employees</w:t>
            </w:r>
            <w:r w:rsidRPr="00326C14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Pr="00326C14">
              <w:rPr>
                <w:b w:val="0"/>
                <w:sz w:val="20"/>
                <w:szCs w:val="20"/>
              </w:rPr>
              <w:t>in accordance with these guidelines</w:t>
            </w:r>
            <w:r w:rsidRPr="00326C14">
              <w:rPr>
                <w:rFonts w:hint="eastAsia"/>
                <w:b w:val="0"/>
                <w:sz w:val="20"/>
                <w:szCs w:val="20"/>
              </w:rPr>
              <w:t>.</w:t>
            </w:r>
          </w:p>
          <w:p w14:paraId="19155302" w14:textId="12BE6DFA" w:rsidR="0027528C" w:rsidRPr="00326C14" w:rsidRDefault="0027528C" w:rsidP="00BF195E">
            <w:pPr>
              <w:pStyle w:val="ListParagraph"/>
              <w:numPr>
                <w:ilvl w:val="0"/>
                <w:numId w:val="9"/>
              </w:numPr>
              <w:spacing w:after="60"/>
              <w:ind w:left="357" w:hanging="357"/>
              <w:rPr>
                <w:b w:val="0"/>
                <w:sz w:val="20"/>
                <w:szCs w:val="20"/>
              </w:rPr>
            </w:pPr>
            <w:r w:rsidRPr="00326C14">
              <w:rPr>
                <w:b w:val="0"/>
                <w:sz w:val="20"/>
                <w:szCs w:val="20"/>
              </w:rPr>
              <w:t xml:space="preserve">Schools cannot fund a staff event unless it is part of an officially recognised departmental program. Refer to the </w:t>
            </w:r>
            <w:hyperlink r:id="rId16" w:history="1">
              <w:r w:rsidRPr="00326C14">
                <w:rPr>
                  <w:rStyle w:val="Hyperlink"/>
                  <w:b w:val="0"/>
                  <w:sz w:val="20"/>
                  <w:szCs w:val="20"/>
                </w:rPr>
                <w:t>Appropriate and eth</w:t>
              </w:r>
              <w:r w:rsidRPr="00326C14">
                <w:rPr>
                  <w:rStyle w:val="Hyperlink"/>
                  <w:b w:val="0"/>
                  <w:sz w:val="20"/>
                  <w:szCs w:val="20"/>
                </w:rPr>
                <w:t>i</w:t>
              </w:r>
              <w:r w:rsidRPr="00326C14">
                <w:rPr>
                  <w:rStyle w:val="Hyperlink"/>
                  <w:b w:val="0"/>
                  <w:sz w:val="20"/>
                  <w:szCs w:val="20"/>
                </w:rPr>
                <w:t>cal use of public resources policy</w:t>
              </w:r>
            </w:hyperlink>
            <w:r w:rsidRPr="00326C14">
              <w:rPr>
                <w:b w:val="0"/>
                <w:sz w:val="20"/>
                <w:szCs w:val="20"/>
              </w:rPr>
              <w:t xml:space="preserve"> and </w:t>
            </w:r>
            <w:hyperlink r:id="rId17" w:history="1">
              <w:r w:rsidRPr="00326C14">
                <w:rPr>
                  <w:rStyle w:val="Hyperlink"/>
                  <w:b w:val="0"/>
                  <w:sz w:val="20"/>
                  <w:szCs w:val="20"/>
                </w:rPr>
                <w:t>guidelin</w:t>
              </w:r>
              <w:r w:rsidRPr="00326C14">
                <w:rPr>
                  <w:rStyle w:val="Hyperlink"/>
                  <w:b w:val="0"/>
                  <w:sz w:val="20"/>
                  <w:szCs w:val="20"/>
                </w:rPr>
                <w:t>e</w:t>
              </w:r>
              <w:r w:rsidRPr="00326C14">
                <w:rPr>
                  <w:rStyle w:val="Hyperlink"/>
                  <w:b w:val="0"/>
                  <w:sz w:val="20"/>
                  <w:szCs w:val="20"/>
                </w:rPr>
                <w:t>s</w:t>
              </w:r>
            </w:hyperlink>
            <w:r w:rsidRPr="00326C14">
              <w:rPr>
                <w:b w:val="0"/>
                <w:sz w:val="20"/>
                <w:szCs w:val="20"/>
              </w:rPr>
              <w:t xml:space="preserve"> for more information.</w:t>
            </w:r>
          </w:p>
        </w:tc>
      </w:tr>
    </w:tbl>
    <w:p w14:paraId="0B3742EF" w14:textId="77777777" w:rsidR="006A3AD1" w:rsidRPr="00B43CE0" w:rsidRDefault="006A3AD1" w:rsidP="00BF195E">
      <w:pPr>
        <w:pStyle w:val="Heading1"/>
        <w:spacing w:before="120"/>
        <w:rPr>
          <w:rFonts w:asciiTheme="minorHAnsi" w:hAnsiTheme="minorHAnsi"/>
          <w:color w:val="4F81BD" w:themeColor="accent1"/>
          <w:sz w:val="24"/>
          <w:szCs w:val="24"/>
        </w:rPr>
      </w:pPr>
      <w:r>
        <w:rPr>
          <w:rFonts w:asciiTheme="minorHAnsi" w:hAnsiTheme="minorHAnsi"/>
          <w:color w:val="4F81BD" w:themeColor="accent1"/>
          <w:sz w:val="24"/>
          <w:szCs w:val="24"/>
        </w:rPr>
        <w:t>Useful resources</w:t>
      </w:r>
    </w:p>
    <w:p w14:paraId="620F6EB7" w14:textId="77777777" w:rsidR="00180FCC" w:rsidRPr="00C85055" w:rsidRDefault="00B23724" w:rsidP="00B43CE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hyperlink r:id="rId18" w:history="1">
        <w:r w:rsidR="00180FCC" w:rsidRPr="00C85055">
          <w:rPr>
            <w:rStyle w:val="Hyperlink"/>
            <w:sz w:val="20"/>
            <w:szCs w:val="20"/>
          </w:rPr>
          <w:t>Catering and hos</w:t>
        </w:r>
        <w:r w:rsidR="00180FCC" w:rsidRPr="00C85055">
          <w:rPr>
            <w:rStyle w:val="Hyperlink"/>
            <w:sz w:val="20"/>
            <w:szCs w:val="20"/>
          </w:rPr>
          <w:t>p</w:t>
        </w:r>
        <w:r w:rsidR="00180FCC" w:rsidRPr="00C85055">
          <w:rPr>
            <w:rStyle w:val="Hyperlink"/>
            <w:sz w:val="20"/>
            <w:szCs w:val="20"/>
          </w:rPr>
          <w:t>itality procedure</w:t>
        </w:r>
      </w:hyperlink>
    </w:p>
    <w:p w14:paraId="05173C8C" w14:textId="77777777" w:rsidR="0024157D" w:rsidRPr="00C85055" w:rsidRDefault="00B23724" w:rsidP="00B43CE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hyperlink r:id="rId19" w:history="1">
        <w:r w:rsidR="0024157D" w:rsidRPr="00C85055">
          <w:rPr>
            <w:rStyle w:val="Hyperlink"/>
            <w:sz w:val="20"/>
            <w:szCs w:val="20"/>
          </w:rPr>
          <w:t xml:space="preserve">Appropriate and ethical </w:t>
        </w:r>
        <w:r w:rsidR="0024157D" w:rsidRPr="00C85055">
          <w:rPr>
            <w:rStyle w:val="Hyperlink"/>
            <w:sz w:val="20"/>
            <w:szCs w:val="20"/>
          </w:rPr>
          <w:t>u</w:t>
        </w:r>
        <w:r w:rsidR="0024157D" w:rsidRPr="00C85055">
          <w:rPr>
            <w:rStyle w:val="Hyperlink"/>
            <w:sz w:val="20"/>
            <w:szCs w:val="20"/>
          </w:rPr>
          <w:t>se of public resources policy</w:t>
        </w:r>
      </w:hyperlink>
    </w:p>
    <w:p w14:paraId="677A8712" w14:textId="77777777" w:rsidR="0024157D" w:rsidRPr="00C85055" w:rsidRDefault="00B23724" w:rsidP="00B43CE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Style w:val="Hyperlink"/>
          <w:color w:val="auto"/>
          <w:sz w:val="20"/>
          <w:szCs w:val="20"/>
          <w:u w:val="none"/>
        </w:rPr>
      </w:pPr>
      <w:hyperlink r:id="rId20" w:history="1">
        <w:r w:rsidR="00B43CE0" w:rsidRPr="00C85055">
          <w:rPr>
            <w:rStyle w:val="Hyperlink"/>
            <w:sz w:val="20"/>
            <w:szCs w:val="20"/>
          </w:rPr>
          <w:t xml:space="preserve">Guidelines for the appropriate </w:t>
        </w:r>
        <w:r w:rsidR="00B43CE0" w:rsidRPr="00C85055">
          <w:rPr>
            <w:rStyle w:val="Hyperlink"/>
            <w:sz w:val="20"/>
            <w:szCs w:val="20"/>
          </w:rPr>
          <w:t>a</w:t>
        </w:r>
        <w:r w:rsidR="00B43CE0" w:rsidRPr="00C85055">
          <w:rPr>
            <w:rStyle w:val="Hyperlink"/>
            <w:sz w:val="20"/>
            <w:szCs w:val="20"/>
          </w:rPr>
          <w:t>nd ethical use of public resources</w:t>
        </w:r>
      </w:hyperlink>
    </w:p>
    <w:p w14:paraId="629CB0ED" w14:textId="77777777" w:rsidR="00180FCC" w:rsidRPr="00C85055" w:rsidRDefault="00B23724" w:rsidP="00B43CE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hyperlink r:id="rId21" w:history="1">
        <w:r w:rsidR="00180FCC" w:rsidRPr="00C85055">
          <w:rPr>
            <w:rStyle w:val="Hyperlink"/>
            <w:sz w:val="20"/>
            <w:szCs w:val="20"/>
          </w:rPr>
          <w:t xml:space="preserve">Appropriate and ethical use </w:t>
        </w:r>
        <w:r w:rsidR="00180FCC" w:rsidRPr="00C85055">
          <w:rPr>
            <w:rStyle w:val="Hyperlink"/>
            <w:sz w:val="20"/>
            <w:szCs w:val="20"/>
          </w:rPr>
          <w:t>o</w:t>
        </w:r>
        <w:r w:rsidR="00180FCC" w:rsidRPr="00C85055">
          <w:rPr>
            <w:rStyle w:val="Hyperlink"/>
            <w:sz w:val="20"/>
            <w:szCs w:val="20"/>
          </w:rPr>
          <w:t>f public resources</w:t>
        </w:r>
      </w:hyperlink>
      <w:r w:rsidR="00180FCC" w:rsidRPr="00C85055">
        <w:rPr>
          <w:rStyle w:val="Hyperlink"/>
          <w:sz w:val="20"/>
          <w:szCs w:val="20"/>
        </w:rPr>
        <w:t xml:space="preserve"> </w:t>
      </w:r>
      <w:proofErr w:type="spellStart"/>
      <w:r w:rsidR="00180FCC" w:rsidRPr="00C85055">
        <w:rPr>
          <w:sz w:val="20"/>
          <w:szCs w:val="20"/>
        </w:rPr>
        <w:t>OnePortal</w:t>
      </w:r>
      <w:proofErr w:type="spellEnd"/>
      <w:r w:rsidR="00180FCC" w:rsidRPr="00C85055">
        <w:rPr>
          <w:sz w:val="20"/>
          <w:szCs w:val="20"/>
        </w:rPr>
        <w:t xml:space="preserve"> page (DoE employee</w:t>
      </w:r>
      <w:bookmarkStart w:id="0" w:name="_GoBack"/>
      <w:bookmarkEnd w:id="0"/>
      <w:r w:rsidR="00180FCC" w:rsidRPr="00C85055">
        <w:rPr>
          <w:sz w:val="20"/>
          <w:szCs w:val="20"/>
        </w:rPr>
        <w:t>s only)</w:t>
      </w:r>
    </w:p>
    <w:p w14:paraId="303C69D0" w14:textId="5120C216" w:rsidR="00180FCC" w:rsidRPr="00C85055" w:rsidRDefault="00B23724" w:rsidP="00B43CE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hyperlink r:id="rId22" w:history="1">
        <w:r w:rsidR="00180FCC" w:rsidRPr="00C85055">
          <w:rPr>
            <w:rStyle w:val="Hyperlink"/>
            <w:sz w:val="20"/>
            <w:szCs w:val="20"/>
          </w:rPr>
          <w:t>Fringe Benefits Ta</w:t>
        </w:r>
        <w:r w:rsidR="00180FCC" w:rsidRPr="00C85055">
          <w:rPr>
            <w:rStyle w:val="Hyperlink"/>
            <w:sz w:val="20"/>
            <w:szCs w:val="20"/>
          </w:rPr>
          <w:t>x</w:t>
        </w:r>
        <w:r w:rsidR="00180FCC" w:rsidRPr="00C85055">
          <w:rPr>
            <w:rStyle w:val="Hyperlink"/>
            <w:sz w:val="20"/>
            <w:szCs w:val="20"/>
          </w:rPr>
          <w:t xml:space="preserve"> Ente</w:t>
        </w:r>
        <w:r w:rsidR="00180FCC" w:rsidRPr="00C85055">
          <w:rPr>
            <w:rStyle w:val="Hyperlink"/>
            <w:sz w:val="20"/>
            <w:szCs w:val="20"/>
          </w:rPr>
          <w:t>r</w:t>
        </w:r>
        <w:r w:rsidR="00180FCC" w:rsidRPr="00C85055">
          <w:rPr>
            <w:rStyle w:val="Hyperlink"/>
            <w:sz w:val="20"/>
            <w:szCs w:val="20"/>
          </w:rPr>
          <w:t>tainment Guidelines</w:t>
        </w:r>
      </w:hyperlink>
    </w:p>
    <w:p w14:paraId="18B411C1" w14:textId="77777777" w:rsidR="00180FCC" w:rsidRPr="00C85055" w:rsidRDefault="00B23724" w:rsidP="00B43CE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Style w:val="Hyperlink"/>
          <w:color w:val="auto"/>
          <w:sz w:val="20"/>
          <w:szCs w:val="20"/>
          <w:u w:val="none"/>
        </w:rPr>
      </w:pPr>
      <w:hyperlink r:id="rId23" w:history="1">
        <w:r w:rsidR="00180FCC" w:rsidRPr="00C85055">
          <w:rPr>
            <w:rStyle w:val="Hyperlink"/>
            <w:rFonts w:hint="eastAsia"/>
            <w:sz w:val="20"/>
            <w:szCs w:val="20"/>
          </w:rPr>
          <w:t xml:space="preserve">Smart Choices </w:t>
        </w:r>
        <w:r w:rsidR="00180FCC" w:rsidRPr="00C85055">
          <w:rPr>
            <w:rStyle w:val="Hyperlink"/>
            <w:sz w:val="20"/>
            <w:szCs w:val="20"/>
          </w:rPr>
          <w:t>–</w:t>
        </w:r>
        <w:r w:rsidR="00180FCC" w:rsidRPr="00C85055">
          <w:rPr>
            <w:rStyle w:val="Hyperlink"/>
            <w:rFonts w:hint="eastAsia"/>
            <w:sz w:val="20"/>
            <w:szCs w:val="20"/>
          </w:rPr>
          <w:t xml:space="preserve"> Healthy Foo</w:t>
        </w:r>
        <w:r w:rsidR="00180FCC" w:rsidRPr="00C85055">
          <w:rPr>
            <w:rStyle w:val="Hyperlink"/>
            <w:rFonts w:hint="eastAsia"/>
            <w:sz w:val="20"/>
            <w:szCs w:val="20"/>
          </w:rPr>
          <w:t>d</w:t>
        </w:r>
        <w:r w:rsidR="00180FCC" w:rsidRPr="00C85055">
          <w:rPr>
            <w:rStyle w:val="Hyperlink"/>
            <w:rFonts w:hint="eastAsia"/>
            <w:sz w:val="20"/>
            <w:szCs w:val="20"/>
          </w:rPr>
          <w:t xml:space="preserve"> and Drink Supply Strategy for Queensland Schools</w:t>
        </w:r>
      </w:hyperlink>
    </w:p>
    <w:p w14:paraId="4F19CDA3" w14:textId="77777777" w:rsidR="00D8318C" w:rsidRPr="00C85055" w:rsidRDefault="00D8318C" w:rsidP="00B43CE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Style w:val="Hyperlink"/>
          <w:color w:val="auto"/>
          <w:sz w:val="20"/>
          <w:szCs w:val="20"/>
          <w:u w:val="none"/>
        </w:rPr>
      </w:pPr>
      <w:r w:rsidRPr="00C85055">
        <w:rPr>
          <w:rFonts w:eastAsia="Times New Roman"/>
          <w:sz w:val="20"/>
          <w:szCs w:val="20"/>
        </w:rPr>
        <w:t xml:space="preserve">Workplace Health and Safety Queensland </w:t>
      </w:r>
      <w:hyperlink r:id="rId24" w:history="1">
        <w:r w:rsidRPr="00C85055">
          <w:rPr>
            <w:rStyle w:val="Hyperlink"/>
            <w:rFonts w:eastAsia="Times New Roman"/>
            <w:sz w:val="20"/>
            <w:szCs w:val="20"/>
          </w:rPr>
          <w:t>Healthy Ch</w:t>
        </w:r>
        <w:r w:rsidRPr="00C85055">
          <w:rPr>
            <w:rStyle w:val="Hyperlink"/>
            <w:rFonts w:eastAsia="Times New Roman"/>
            <w:sz w:val="20"/>
            <w:szCs w:val="20"/>
          </w:rPr>
          <w:t>o</w:t>
        </w:r>
        <w:r w:rsidRPr="00C85055">
          <w:rPr>
            <w:rStyle w:val="Hyperlink"/>
            <w:rFonts w:eastAsia="Times New Roman"/>
            <w:sz w:val="20"/>
            <w:szCs w:val="20"/>
          </w:rPr>
          <w:t>ice Catering</w:t>
        </w:r>
      </w:hyperlink>
    </w:p>
    <w:p w14:paraId="1CA474E7" w14:textId="61E559C7" w:rsidR="00180FCC" w:rsidRPr="00C85055" w:rsidRDefault="00B23724" w:rsidP="00180FCC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hyperlink r:id="rId25" w:history="1">
        <w:r w:rsidR="00D8318C" w:rsidRPr="00C85055">
          <w:rPr>
            <w:rStyle w:val="Hyperlink"/>
            <w:sz w:val="20"/>
            <w:szCs w:val="20"/>
          </w:rPr>
          <w:t xml:space="preserve">Directive 02/18: </w:t>
        </w:r>
        <w:r w:rsidR="00D8318C" w:rsidRPr="00C85055">
          <w:rPr>
            <w:rStyle w:val="Hyperlink"/>
            <w:sz w:val="20"/>
            <w:szCs w:val="20"/>
          </w:rPr>
          <w:t>H</w:t>
        </w:r>
        <w:r w:rsidR="00D8318C" w:rsidRPr="00C85055">
          <w:rPr>
            <w:rStyle w:val="Hyperlink"/>
            <w:sz w:val="20"/>
            <w:szCs w:val="20"/>
          </w:rPr>
          <w:t>ours, Overtime and Excess Travel</w:t>
        </w:r>
      </w:hyperlink>
    </w:p>
    <w:sectPr w:rsidR="00180FCC" w:rsidRPr="00C85055" w:rsidSect="003E046E">
      <w:headerReference w:type="default" r:id="rId26"/>
      <w:footerReference w:type="default" r:id="rId27"/>
      <w:pgSz w:w="11906" w:h="16838"/>
      <w:pgMar w:top="720" w:right="680" w:bottom="720" w:left="680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0B5F" w14:textId="77777777" w:rsidR="00B23724" w:rsidRDefault="00B23724" w:rsidP="00D04C42">
      <w:pPr>
        <w:spacing w:after="0" w:line="240" w:lineRule="auto"/>
      </w:pPr>
      <w:r>
        <w:separator/>
      </w:r>
    </w:p>
  </w:endnote>
  <w:endnote w:type="continuationSeparator" w:id="0">
    <w:p w14:paraId="0385D055" w14:textId="77777777" w:rsidR="00B23724" w:rsidRDefault="00B23724" w:rsidP="00D0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DE4F4" w14:textId="77777777" w:rsidR="00794C73" w:rsidRDefault="00F579BD" w:rsidP="00F579BD">
    <w:pPr>
      <w:pStyle w:val="Footer"/>
      <w:tabs>
        <w:tab w:val="clear" w:pos="4513"/>
        <w:tab w:val="clear" w:pos="9026"/>
        <w:tab w:val="right" w:pos="10466"/>
      </w:tabs>
      <w:rPr>
        <w:rFonts w:ascii="Arial" w:hAnsi="Arial" w:cs="Arial"/>
        <w:sz w:val="16"/>
        <w:szCs w:val="16"/>
      </w:rPr>
    </w:pPr>
    <w:r w:rsidRPr="00794C7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0C4B374A" wp14:editId="3C94D744">
          <wp:simplePos x="0" y="0"/>
          <wp:positionH relativeFrom="page">
            <wp:posOffset>0</wp:posOffset>
          </wp:positionH>
          <wp:positionV relativeFrom="page">
            <wp:posOffset>9587230</wp:posOffset>
          </wp:positionV>
          <wp:extent cx="7556500" cy="97155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C73">
      <w:rPr>
        <w:rFonts w:ascii="Arial" w:hAnsi="Arial" w:cs="Arial"/>
        <w:sz w:val="16"/>
        <w:szCs w:val="16"/>
      </w:rPr>
      <w:t>Uncontrolled copy. Refer to the Department of Education Policy and Procedure Register</w:t>
    </w:r>
    <w:r w:rsidR="00794C73">
      <w:rPr>
        <w:rFonts w:ascii="Arial" w:hAnsi="Arial" w:cs="Arial"/>
        <w:sz w:val="16"/>
        <w:szCs w:val="16"/>
      </w:rPr>
      <w:t xml:space="preserve"> </w:t>
    </w:r>
    <w:r w:rsidR="00BA12F6">
      <w:rPr>
        <w:rFonts w:ascii="Arial" w:hAnsi="Arial" w:cs="Arial"/>
        <w:sz w:val="16"/>
        <w:szCs w:val="16"/>
      </w:rPr>
      <w:t xml:space="preserve">at </w:t>
    </w:r>
    <w:r w:rsidR="00BA12F6">
      <w:rPr>
        <w:rFonts w:ascii="Arial" w:hAnsi="Arial" w:cs="Arial"/>
        <w:sz w:val="16"/>
        <w:szCs w:val="16"/>
      </w:rPr>
      <w:br/>
    </w:r>
    <w:hyperlink r:id="rId2" w:history="1">
      <w:r w:rsidR="00BA12F6" w:rsidRPr="002E2139">
        <w:rPr>
          <w:rStyle w:val="Hyperlink"/>
          <w:rFonts w:ascii="Arial" w:hAnsi="Arial" w:cs="Arial"/>
          <w:sz w:val="16"/>
          <w:szCs w:val="16"/>
        </w:rPr>
        <w:t>https://ppr.qed.qld.gov.au/pp/caterin</w:t>
      </w:r>
      <w:r w:rsidR="00BA12F6" w:rsidRPr="002E2139">
        <w:rPr>
          <w:rStyle w:val="Hyperlink"/>
          <w:rFonts w:ascii="Arial" w:hAnsi="Arial" w:cs="Arial"/>
          <w:sz w:val="16"/>
          <w:szCs w:val="16"/>
        </w:rPr>
        <w:t>g</w:t>
      </w:r>
      <w:r w:rsidR="00BA12F6" w:rsidRPr="002E2139">
        <w:rPr>
          <w:rStyle w:val="Hyperlink"/>
          <w:rFonts w:ascii="Arial" w:hAnsi="Arial" w:cs="Arial"/>
          <w:sz w:val="16"/>
          <w:szCs w:val="16"/>
        </w:rPr>
        <w:t>-and-hospitality-procedure</w:t>
      </w:r>
    </w:hyperlink>
    <w:r w:rsidR="00BA12F6">
      <w:rPr>
        <w:rFonts w:ascii="Arial" w:hAnsi="Arial" w:cs="Arial"/>
        <w:sz w:val="16"/>
        <w:szCs w:val="16"/>
      </w:rPr>
      <w:t xml:space="preserve"> </w:t>
    </w:r>
    <w:r w:rsidRPr="00794C73">
      <w:rPr>
        <w:rFonts w:ascii="Arial" w:hAnsi="Arial" w:cs="Arial"/>
        <w:sz w:val="16"/>
        <w:szCs w:val="16"/>
      </w:rPr>
      <w:t xml:space="preserve">to ensure you have the most </w:t>
    </w:r>
  </w:p>
  <w:p w14:paraId="4A352980" w14:textId="77777777" w:rsidR="00F579BD" w:rsidRPr="00794C73" w:rsidRDefault="00F579BD" w:rsidP="00F579BD">
    <w:pPr>
      <w:pStyle w:val="Footer"/>
      <w:tabs>
        <w:tab w:val="clear" w:pos="4513"/>
        <w:tab w:val="clear" w:pos="9026"/>
        <w:tab w:val="right" w:pos="10466"/>
      </w:tabs>
      <w:rPr>
        <w:rFonts w:ascii="Arial" w:hAnsi="Arial" w:cs="Arial"/>
        <w:sz w:val="16"/>
        <w:szCs w:val="18"/>
      </w:rPr>
    </w:pPr>
    <w:r w:rsidRPr="00794C73">
      <w:rPr>
        <w:rFonts w:ascii="Arial" w:hAnsi="Arial" w:cs="Arial"/>
        <w:sz w:val="16"/>
        <w:szCs w:val="16"/>
      </w:rPr>
      <w:t>current version of this document</w:t>
    </w:r>
    <w:r w:rsidRPr="00794C73">
      <w:rPr>
        <w:rFonts w:ascii="Arial" w:hAnsi="Arial" w:cs="Arial"/>
        <w:sz w:val="16"/>
        <w:szCs w:val="18"/>
      </w:rPr>
      <w:t>.</w:t>
    </w:r>
    <w:r w:rsidR="00794C73" w:rsidRPr="00794C73">
      <w:rPr>
        <w:rFonts w:ascii="Arial" w:hAnsi="Arial" w:cs="Arial"/>
        <w:sz w:val="16"/>
        <w:szCs w:val="18"/>
      </w:rPr>
      <w:t xml:space="preserve">                                                                                         </w:t>
    </w:r>
    <w:r w:rsidR="00BA12F6">
      <w:rPr>
        <w:rFonts w:ascii="Arial" w:hAnsi="Arial" w:cs="Arial"/>
        <w:sz w:val="16"/>
        <w:szCs w:val="18"/>
      </w:rPr>
      <w:t xml:space="preserve">             </w:t>
    </w:r>
    <w:r w:rsidRPr="00794C73">
      <w:rPr>
        <w:rFonts w:ascii="Arial" w:hAnsi="Arial" w:cs="Arial"/>
        <w:sz w:val="16"/>
        <w:szCs w:val="18"/>
      </w:rPr>
      <w:t xml:space="preserve">Page </w:t>
    </w:r>
    <w:r w:rsidRPr="00794C73">
      <w:rPr>
        <w:rFonts w:ascii="Arial" w:hAnsi="Arial" w:cs="Arial"/>
        <w:b/>
        <w:bCs/>
        <w:sz w:val="16"/>
        <w:szCs w:val="18"/>
      </w:rPr>
      <w:fldChar w:fldCharType="begin"/>
    </w:r>
    <w:r w:rsidRPr="00794C73">
      <w:rPr>
        <w:rFonts w:ascii="Arial" w:hAnsi="Arial" w:cs="Arial"/>
        <w:b/>
        <w:sz w:val="16"/>
        <w:szCs w:val="18"/>
      </w:rPr>
      <w:instrText xml:space="preserve"> PAGE </w:instrText>
    </w:r>
    <w:r w:rsidRPr="00794C73">
      <w:rPr>
        <w:rFonts w:ascii="Arial" w:hAnsi="Arial" w:cs="Arial"/>
        <w:b/>
        <w:bCs/>
        <w:sz w:val="16"/>
        <w:szCs w:val="18"/>
      </w:rPr>
      <w:fldChar w:fldCharType="separate"/>
    </w:r>
    <w:r w:rsidR="002B42DB">
      <w:rPr>
        <w:rFonts w:ascii="Arial" w:hAnsi="Arial" w:cs="Arial"/>
        <w:b/>
        <w:noProof/>
        <w:sz w:val="16"/>
        <w:szCs w:val="18"/>
      </w:rPr>
      <w:t>2</w:t>
    </w:r>
    <w:r w:rsidRPr="00794C73">
      <w:rPr>
        <w:rFonts w:ascii="Arial" w:hAnsi="Arial" w:cs="Arial"/>
        <w:b/>
        <w:bCs/>
        <w:sz w:val="16"/>
        <w:szCs w:val="18"/>
      </w:rPr>
      <w:fldChar w:fldCharType="end"/>
    </w:r>
    <w:r w:rsidRPr="00794C73">
      <w:rPr>
        <w:rFonts w:ascii="Arial" w:hAnsi="Arial" w:cs="Arial"/>
        <w:sz w:val="16"/>
        <w:szCs w:val="18"/>
      </w:rPr>
      <w:t xml:space="preserve"> of </w:t>
    </w:r>
    <w:r w:rsidRPr="00794C73">
      <w:rPr>
        <w:rFonts w:ascii="Arial" w:hAnsi="Arial" w:cs="Arial"/>
        <w:b/>
        <w:bCs/>
        <w:sz w:val="16"/>
        <w:szCs w:val="18"/>
      </w:rPr>
      <w:fldChar w:fldCharType="begin"/>
    </w:r>
    <w:r w:rsidRPr="00794C73">
      <w:rPr>
        <w:rFonts w:ascii="Arial" w:hAnsi="Arial" w:cs="Arial"/>
        <w:b/>
        <w:sz w:val="16"/>
        <w:szCs w:val="18"/>
      </w:rPr>
      <w:instrText xml:space="preserve"> NUMPAGES  </w:instrText>
    </w:r>
    <w:r w:rsidRPr="00794C73">
      <w:rPr>
        <w:rFonts w:ascii="Arial" w:hAnsi="Arial" w:cs="Arial"/>
        <w:b/>
        <w:bCs/>
        <w:sz w:val="16"/>
        <w:szCs w:val="18"/>
      </w:rPr>
      <w:fldChar w:fldCharType="separate"/>
    </w:r>
    <w:r w:rsidR="002B42DB">
      <w:rPr>
        <w:rFonts w:ascii="Arial" w:hAnsi="Arial" w:cs="Arial"/>
        <w:b/>
        <w:noProof/>
        <w:sz w:val="16"/>
        <w:szCs w:val="18"/>
      </w:rPr>
      <w:t>2</w:t>
    </w:r>
    <w:r w:rsidRPr="00794C73">
      <w:rPr>
        <w:rFonts w:ascii="Arial" w:hAnsi="Arial" w:cs="Arial"/>
        <w:b/>
        <w:bCs/>
        <w:sz w:val="16"/>
        <w:szCs w:val="18"/>
      </w:rPr>
      <w:fldChar w:fldCharType="end"/>
    </w:r>
  </w:p>
  <w:p w14:paraId="7485EA90" w14:textId="77777777" w:rsidR="00043CA0" w:rsidRDefault="00A50BB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132D30" wp14:editId="3BB949FA">
          <wp:simplePos x="0" y="0"/>
          <wp:positionH relativeFrom="page">
            <wp:posOffset>0</wp:posOffset>
          </wp:positionH>
          <wp:positionV relativeFrom="page">
            <wp:posOffset>9720580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BC9D1" w14:textId="77777777" w:rsidR="00B23724" w:rsidRDefault="00B23724" w:rsidP="00D04C42">
      <w:pPr>
        <w:spacing w:after="0" w:line="240" w:lineRule="auto"/>
      </w:pPr>
      <w:r>
        <w:separator/>
      </w:r>
    </w:p>
  </w:footnote>
  <w:footnote w:type="continuationSeparator" w:id="0">
    <w:p w14:paraId="22742377" w14:textId="77777777" w:rsidR="00B23724" w:rsidRDefault="00B23724" w:rsidP="00D0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18F63" w14:textId="77777777" w:rsidR="00043CA0" w:rsidRDefault="00A50BB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E71EAA" wp14:editId="1B905CF7">
          <wp:simplePos x="0" y="0"/>
          <wp:positionH relativeFrom="margin">
            <wp:posOffset>-457200</wp:posOffset>
          </wp:positionH>
          <wp:positionV relativeFrom="paragraph">
            <wp:posOffset>-449580</wp:posOffset>
          </wp:positionV>
          <wp:extent cx="7559675" cy="1079500"/>
          <wp:effectExtent l="0" t="0" r="317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1A19"/>
    <w:multiLevelType w:val="hybridMultilevel"/>
    <w:tmpl w:val="182E0B54"/>
    <w:lvl w:ilvl="0" w:tplc="169480C2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6A79"/>
    <w:multiLevelType w:val="hybridMultilevel"/>
    <w:tmpl w:val="182E0B54"/>
    <w:lvl w:ilvl="0" w:tplc="169480C2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771C"/>
    <w:multiLevelType w:val="hybridMultilevel"/>
    <w:tmpl w:val="9BC6A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249B6"/>
    <w:multiLevelType w:val="hybridMultilevel"/>
    <w:tmpl w:val="9C783E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6164"/>
    <w:multiLevelType w:val="hybridMultilevel"/>
    <w:tmpl w:val="3AAA0B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90615"/>
    <w:multiLevelType w:val="hybridMultilevel"/>
    <w:tmpl w:val="FBDA758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71304"/>
    <w:multiLevelType w:val="hybridMultilevel"/>
    <w:tmpl w:val="182E0B54"/>
    <w:lvl w:ilvl="0" w:tplc="169480C2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629CC"/>
    <w:multiLevelType w:val="hybridMultilevel"/>
    <w:tmpl w:val="75523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07380"/>
    <w:multiLevelType w:val="hybridMultilevel"/>
    <w:tmpl w:val="6812E6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11A8D"/>
    <w:multiLevelType w:val="hybridMultilevel"/>
    <w:tmpl w:val="182E0B54"/>
    <w:lvl w:ilvl="0" w:tplc="169480C2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42"/>
    <w:rsid w:val="00003CC4"/>
    <w:rsid w:val="00012051"/>
    <w:rsid w:val="00025678"/>
    <w:rsid w:val="00043CA0"/>
    <w:rsid w:val="00055AC4"/>
    <w:rsid w:val="00056010"/>
    <w:rsid w:val="00067C28"/>
    <w:rsid w:val="000850F4"/>
    <w:rsid w:val="0008545E"/>
    <w:rsid w:val="000B220A"/>
    <w:rsid w:val="000B264E"/>
    <w:rsid w:val="000C0BFC"/>
    <w:rsid w:val="000C4068"/>
    <w:rsid w:val="000E061A"/>
    <w:rsid w:val="000E6CD7"/>
    <w:rsid w:val="00102E35"/>
    <w:rsid w:val="00103409"/>
    <w:rsid w:val="0010491D"/>
    <w:rsid w:val="00110F24"/>
    <w:rsid w:val="001213C4"/>
    <w:rsid w:val="00132B4E"/>
    <w:rsid w:val="00143439"/>
    <w:rsid w:val="00151C8E"/>
    <w:rsid w:val="00153083"/>
    <w:rsid w:val="00153F27"/>
    <w:rsid w:val="00157599"/>
    <w:rsid w:val="001652A4"/>
    <w:rsid w:val="00180FCC"/>
    <w:rsid w:val="00186E28"/>
    <w:rsid w:val="0019788D"/>
    <w:rsid w:val="001A2A45"/>
    <w:rsid w:val="001A6BA3"/>
    <w:rsid w:val="001C35EC"/>
    <w:rsid w:val="001C51F9"/>
    <w:rsid w:val="001C5CC7"/>
    <w:rsid w:val="001E5694"/>
    <w:rsid w:val="00215AD5"/>
    <w:rsid w:val="0024157D"/>
    <w:rsid w:val="00252787"/>
    <w:rsid w:val="00270663"/>
    <w:rsid w:val="0027528C"/>
    <w:rsid w:val="00281ED4"/>
    <w:rsid w:val="002A15C0"/>
    <w:rsid w:val="002A36C0"/>
    <w:rsid w:val="002B1CA7"/>
    <w:rsid w:val="002B42DB"/>
    <w:rsid w:val="002C25CA"/>
    <w:rsid w:val="002E2470"/>
    <w:rsid w:val="002F4065"/>
    <w:rsid w:val="00326C14"/>
    <w:rsid w:val="00326DB5"/>
    <w:rsid w:val="00367C4D"/>
    <w:rsid w:val="003D0C90"/>
    <w:rsid w:val="003D4E16"/>
    <w:rsid w:val="003E046E"/>
    <w:rsid w:val="003F0478"/>
    <w:rsid w:val="00413D7F"/>
    <w:rsid w:val="00417BA0"/>
    <w:rsid w:val="0042161D"/>
    <w:rsid w:val="0043631B"/>
    <w:rsid w:val="0046079C"/>
    <w:rsid w:val="00464490"/>
    <w:rsid w:val="0046595A"/>
    <w:rsid w:val="00482B3D"/>
    <w:rsid w:val="004831F4"/>
    <w:rsid w:val="00483B66"/>
    <w:rsid w:val="004843ED"/>
    <w:rsid w:val="00493E2E"/>
    <w:rsid w:val="00494393"/>
    <w:rsid w:val="004B6873"/>
    <w:rsid w:val="004C3614"/>
    <w:rsid w:val="004F56F5"/>
    <w:rsid w:val="00513493"/>
    <w:rsid w:val="00513DAB"/>
    <w:rsid w:val="0051666F"/>
    <w:rsid w:val="005316A3"/>
    <w:rsid w:val="00555952"/>
    <w:rsid w:val="00556005"/>
    <w:rsid w:val="00556D72"/>
    <w:rsid w:val="00563404"/>
    <w:rsid w:val="00565529"/>
    <w:rsid w:val="00565BDB"/>
    <w:rsid w:val="00572699"/>
    <w:rsid w:val="005B098B"/>
    <w:rsid w:val="005C1F14"/>
    <w:rsid w:val="005C7292"/>
    <w:rsid w:val="005D4CE2"/>
    <w:rsid w:val="005E0139"/>
    <w:rsid w:val="005E2CB3"/>
    <w:rsid w:val="005F5810"/>
    <w:rsid w:val="00615383"/>
    <w:rsid w:val="0062452E"/>
    <w:rsid w:val="00624D54"/>
    <w:rsid w:val="006257EB"/>
    <w:rsid w:val="006337B6"/>
    <w:rsid w:val="00652F13"/>
    <w:rsid w:val="006705B1"/>
    <w:rsid w:val="006937E8"/>
    <w:rsid w:val="006A2199"/>
    <w:rsid w:val="006A3AD1"/>
    <w:rsid w:val="006B0B09"/>
    <w:rsid w:val="006B2C9C"/>
    <w:rsid w:val="006B659F"/>
    <w:rsid w:val="006C0998"/>
    <w:rsid w:val="006E73A3"/>
    <w:rsid w:val="007101CC"/>
    <w:rsid w:val="007121C8"/>
    <w:rsid w:val="00730F94"/>
    <w:rsid w:val="0074288E"/>
    <w:rsid w:val="00752B82"/>
    <w:rsid w:val="00790D0A"/>
    <w:rsid w:val="0079178F"/>
    <w:rsid w:val="00794C73"/>
    <w:rsid w:val="0079532C"/>
    <w:rsid w:val="007A1B1C"/>
    <w:rsid w:val="007B2357"/>
    <w:rsid w:val="007B5322"/>
    <w:rsid w:val="007B7120"/>
    <w:rsid w:val="007C59B3"/>
    <w:rsid w:val="007D0E48"/>
    <w:rsid w:val="007D22CF"/>
    <w:rsid w:val="007E4ACE"/>
    <w:rsid w:val="00826ED6"/>
    <w:rsid w:val="00834324"/>
    <w:rsid w:val="008415E9"/>
    <w:rsid w:val="008650C0"/>
    <w:rsid w:val="008734F6"/>
    <w:rsid w:val="008810DF"/>
    <w:rsid w:val="008A0F1F"/>
    <w:rsid w:val="008B3C65"/>
    <w:rsid w:val="008F06C9"/>
    <w:rsid w:val="008F1560"/>
    <w:rsid w:val="00905AD0"/>
    <w:rsid w:val="00916B6B"/>
    <w:rsid w:val="00923C42"/>
    <w:rsid w:val="00945A3B"/>
    <w:rsid w:val="00955B75"/>
    <w:rsid w:val="00955E46"/>
    <w:rsid w:val="00961371"/>
    <w:rsid w:val="00980288"/>
    <w:rsid w:val="00982877"/>
    <w:rsid w:val="009B1616"/>
    <w:rsid w:val="009E37AA"/>
    <w:rsid w:val="009E4E2E"/>
    <w:rsid w:val="009F32E4"/>
    <w:rsid w:val="00A059C5"/>
    <w:rsid w:val="00A16871"/>
    <w:rsid w:val="00A50BB0"/>
    <w:rsid w:val="00A549CD"/>
    <w:rsid w:val="00A61F77"/>
    <w:rsid w:val="00AA767E"/>
    <w:rsid w:val="00AB12A9"/>
    <w:rsid w:val="00AC30F2"/>
    <w:rsid w:val="00AC5034"/>
    <w:rsid w:val="00AD4706"/>
    <w:rsid w:val="00AD54A5"/>
    <w:rsid w:val="00AF1F9F"/>
    <w:rsid w:val="00AF2851"/>
    <w:rsid w:val="00B025A4"/>
    <w:rsid w:val="00B11BB0"/>
    <w:rsid w:val="00B23724"/>
    <w:rsid w:val="00B43CE0"/>
    <w:rsid w:val="00B46BB6"/>
    <w:rsid w:val="00B60D15"/>
    <w:rsid w:val="00B75875"/>
    <w:rsid w:val="00BA12F6"/>
    <w:rsid w:val="00BA6EC2"/>
    <w:rsid w:val="00BB1BDC"/>
    <w:rsid w:val="00BB4D7E"/>
    <w:rsid w:val="00BD6697"/>
    <w:rsid w:val="00BE5D3E"/>
    <w:rsid w:val="00BF195E"/>
    <w:rsid w:val="00BF3CCF"/>
    <w:rsid w:val="00BF4D7C"/>
    <w:rsid w:val="00BF61B3"/>
    <w:rsid w:val="00C05655"/>
    <w:rsid w:val="00C21440"/>
    <w:rsid w:val="00C33E3D"/>
    <w:rsid w:val="00C40300"/>
    <w:rsid w:val="00C616F0"/>
    <w:rsid w:val="00C77DC0"/>
    <w:rsid w:val="00C85055"/>
    <w:rsid w:val="00C873E4"/>
    <w:rsid w:val="00C91D7C"/>
    <w:rsid w:val="00CB1CD1"/>
    <w:rsid w:val="00CC1AE2"/>
    <w:rsid w:val="00CC4654"/>
    <w:rsid w:val="00CC728B"/>
    <w:rsid w:val="00CD6376"/>
    <w:rsid w:val="00CD6D29"/>
    <w:rsid w:val="00CE3959"/>
    <w:rsid w:val="00CE44B1"/>
    <w:rsid w:val="00CF0B3E"/>
    <w:rsid w:val="00CF157B"/>
    <w:rsid w:val="00D03896"/>
    <w:rsid w:val="00D04C42"/>
    <w:rsid w:val="00D056FD"/>
    <w:rsid w:val="00D27E5A"/>
    <w:rsid w:val="00D31ACB"/>
    <w:rsid w:val="00D35E13"/>
    <w:rsid w:val="00D46168"/>
    <w:rsid w:val="00D475B4"/>
    <w:rsid w:val="00D65DBE"/>
    <w:rsid w:val="00D72357"/>
    <w:rsid w:val="00D7274C"/>
    <w:rsid w:val="00D76DAC"/>
    <w:rsid w:val="00D8318C"/>
    <w:rsid w:val="00D90B3E"/>
    <w:rsid w:val="00D9210D"/>
    <w:rsid w:val="00DA1F62"/>
    <w:rsid w:val="00DB075D"/>
    <w:rsid w:val="00DB28FF"/>
    <w:rsid w:val="00DD12E3"/>
    <w:rsid w:val="00DD61A6"/>
    <w:rsid w:val="00DE5523"/>
    <w:rsid w:val="00DF4E6D"/>
    <w:rsid w:val="00E058DD"/>
    <w:rsid w:val="00E156AC"/>
    <w:rsid w:val="00E37175"/>
    <w:rsid w:val="00E42E66"/>
    <w:rsid w:val="00E50573"/>
    <w:rsid w:val="00E826A7"/>
    <w:rsid w:val="00E92145"/>
    <w:rsid w:val="00E97B12"/>
    <w:rsid w:val="00EB2811"/>
    <w:rsid w:val="00ED774C"/>
    <w:rsid w:val="00EF1090"/>
    <w:rsid w:val="00EF3294"/>
    <w:rsid w:val="00EF4CF8"/>
    <w:rsid w:val="00F04932"/>
    <w:rsid w:val="00F053BA"/>
    <w:rsid w:val="00F147B4"/>
    <w:rsid w:val="00F17E19"/>
    <w:rsid w:val="00F203AF"/>
    <w:rsid w:val="00F243E0"/>
    <w:rsid w:val="00F252BF"/>
    <w:rsid w:val="00F3214A"/>
    <w:rsid w:val="00F322F3"/>
    <w:rsid w:val="00F579BD"/>
    <w:rsid w:val="00F57DFA"/>
    <w:rsid w:val="00F70DF3"/>
    <w:rsid w:val="00F86593"/>
    <w:rsid w:val="00F930B7"/>
    <w:rsid w:val="00F96586"/>
    <w:rsid w:val="00FA161F"/>
    <w:rsid w:val="00FC4BDE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A8400"/>
  <w15:docId w15:val="{AD09C2D8-A72C-47C9-B159-64F9AF60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4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C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C42"/>
    <w:rPr>
      <w:vertAlign w:val="superscript"/>
    </w:rPr>
  </w:style>
  <w:style w:type="table" w:styleId="LightShading">
    <w:name w:val="Light Shading"/>
    <w:basedOn w:val="TableNormal"/>
    <w:uiPriority w:val="60"/>
    <w:rsid w:val="00DE55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A1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F62"/>
  </w:style>
  <w:style w:type="paragraph" w:styleId="Footer">
    <w:name w:val="footer"/>
    <w:basedOn w:val="Normal"/>
    <w:link w:val="FooterChar"/>
    <w:uiPriority w:val="99"/>
    <w:unhideWhenUsed/>
    <w:rsid w:val="00DA1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F62"/>
  </w:style>
  <w:style w:type="character" w:customStyle="1" w:styleId="Heading1Char">
    <w:name w:val="Heading 1 Char"/>
    <w:basedOn w:val="DefaultParagraphFont"/>
    <w:link w:val="Heading1"/>
    <w:uiPriority w:val="9"/>
    <w:rsid w:val="00DA1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yp">
    <w:name w:val="Hyp"/>
    <w:basedOn w:val="Normal"/>
    <w:qFormat/>
    <w:rsid w:val="000E061A"/>
  </w:style>
  <w:style w:type="character" w:styleId="Hyperlink">
    <w:name w:val="Hyperlink"/>
    <w:basedOn w:val="DefaultParagraphFont"/>
    <w:uiPriority w:val="99"/>
    <w:unhideWhenUsed/>
    <w:rsid w:val="000E06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8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3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9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4C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.qld.gov.au/students/student-health-safety-wellbeing/student-health/smart-choices" TargetMode="External"/><Relationship Id="rId18" Type="http://schemas.openxmlformats.org/officeDocument/2006/relationships/hyperlink" Target="https://ppr.mpe.qed.qld.gov.au/pp/catering-and-hospitality-procedur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qed.qld.gov.au/Services/Finance/approporiate-and-ethical-use-of-public-resourc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ntranet.qed.qld.gov.au/Services/Finance/approporiate-and-ethical-use-of-public-resources" TargetMode="External"/><Relationship Id="rId17" Type="http://schemas.openxmlformats.org/officeDocument/2006/relationships/hyperlink" Target="https://ppr.mpe.qed.qld.gov.au/pp/appropriate-and-ethical-use-of-public-resources-policy" TargetMode="External"/><Relationship Id="rId25" Type="http://schemas.openxmlformats.org/officeDocument/2006/relationships/hyperlink" Target="https://www.forgov.qld.gov.au/working-in-the-public-service/directives-awards-and-legislation/search-for-directives-policies-circulars-and-guidelines/hours-overtime-and-excess-travel-directive-02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pp/appropriate-and-ethical-use-of-public-resources-policy" TargetMode="External"/><Relationship Id="rId20" Type="http://schemas.openxmlformats.org/officeDocument/2006/relationships/hyperlink" Target="https://ppr.mpe.qed.qld.gov.au/pp/appropriate-and-ethical-use-of-public-resources-polic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pr.mpe.qed.qld.gov.au/pp/catering-and-hospitality-procedure" TargetMode="External"/><Relationship Id="rId24" Type="http://schemas.openxmlformats.org/officeDocument/2006/relationships/hyperlink" Target="https://intranet.qed.qld.gov.au/Services/HumanResources/Forms/Documents/healthy-choice-information-brochur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intranet.qed.qld.gov.au/Services/Finance/Taxation/FBT/entertainment-guidelines/Pages/default.aspx" TargetMode="External"/><Relationship Id="rId23" Type="http://schemas.openxmlformats.org/officeDocument/2006/relationships/hyperlink" Target="https://education.qld.gov.au/students/student-health-safety-wellbeing/student-health/smart-choic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pr.mpe.qed.qld.gov.au/pp/appropriate-and-ethical-use-of-public-resources-policy" TargetMode="External"/><Relationship Id="rId19" Type="http://schemas.openxmlformats.org/officeDocument/2006/relationships/hyperlink" Target="https://ppr.mpe.qed.qld.gov.au/pp/appropriate-and-ethical-use-of-public-resources-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rgov.qld.gov.au/working-in-the-public-service/directives-awards-and-legislation/search-for-directives-policies-circulars-and-guidelines/hours-overtime-and-excess-travel-directive-0218" TargetMode="External"/><Relationship Id="rId22" Type="http://schemas.openxmlformats.org/officeDocument/2006/relationships/hyperlink" Target="https://intranet.qed.qld.gov.au/Services/Finance/Taxation/FBT/entertainment-guidelines/Pages/default.aspx" TargetMode="External"/><Relationship Id="rId27" Type="http://schemas.openxmlformats.org/officeDocument/2006/relationships/footer" Target="footer1.xml"/><Relationship Id="rId30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catering-and-hospitality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20/694044</PPRHPRMRecordNumber>
    <PPRAttachmentParent xmlns="http://schemas.microsoft.com/sharepoint/v3">20/701522</PPRAttachmentParent>
    <PPRDecommissioned xmlns="http://schemas.microsoft.com/sharepoint/v3">false</PPRDecommissioned>
    <PPReferenceNumber xmlns="16795be8-4374-4e44-895d-be6cdbab3e2c" xsi:nil="true"/>
    <PPRPrimarySubCategory xmlns="16795be8-4374-4e44-895d-be6cdbab3e2c" xsi:nil="true"/>
    <PPLastReviewedBy xmlns="16795be8-4374-4e44-895d-be6cdbab3e2c">
      <UserInfo>
        <DisplayName>System Account</DisplayName>
        <AccountId>1073741823</AccountId>
        <AccountType/>
      </UserInfo>
    </PPLastReviewedBy>
    <PPModeratedBy xmlns="16795be8-4374-4e44-895d-be6cdbab3e2c">
      <UserInfo>
        <DisplayName>System Account</DisplayName>
        <AccountId>1073741823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9</PPRHPRMRevisionNumber>
    <PublishingStartDate xmlns="http://schemas.microsoft.com/sharepoint/v3">2022-07-10T20:00:00+00:00</PublishingStartDate>
    <PPRUpdateNotes xmlns="http://schemas.microsoft.com/sharepoint/v3" xsi:nil="true"/>
    <PPRContentType xmlns="http://schemas.microsoft.com/sharepoint/v3">Supporting information</PPRContentType>
    <PPRHierarchyID xmlns="http://schemas.microsoft.com/sharepoint/v3">20/709948</PPRHierarchyID>
    <PPRNotes xmlns="http://schemas.microsoft.com/sharepoint/v3" xsi:nil="true"/>
    <PPRHPRMUpdateDate xmlns="http://schemas.microsoft.com/sharepoint/v3">2022-07-01T05:19:49+00:00</PPRHPRMUpdateDate>
    <PPRPrimaryCategory xmlns="16795be8-4374-4e44-895d-be6cdbab3e2c">10</PPRPrimaryCategory>
    <PPRSecondaryCategory xmlns="16795be8-4374-4e44-895d-be6cdbab3e2c"/>
    <PPRKeywords xmlns="http://schemas.microsoft.com/sharepoint/v3">Food; drink; alcohol; gift; tea; coffee; meal; lunch; cater; refreshment; catering; hospitality; expenditure;</PPRKeywords>
    <PPRBranch xmlns="http://schemas.microsoft.com/sharepoint/v3">Financial Strategy and Advice</PPRBranch>
    <PPRDecommissionedDate xmlns="http://schemas.microsoft.com/sharepoint/v3" xsi:nil="true"/>
    <PPRIsUpdatesPage xmlns="http://schemas.microsoft.com/sharepoint/v3">false</PPRIsUpdatesPage>
    <PPLastReviewedDate xmlns="16795be8-4374-4e44-895d-be6cdbab3e2c">2022-07-10T20:11:49+00:00</PPLastReviewedDate>
    <PPRVersionEffectiveDate xmlns="http://schemas.microsoft.com/sharepoint/v3" xsi:nil="true"/>
    <PPModeratedDate xmlns="16795be8-4374-4e44-895d-be6cdbab3e2c">2022-07-10T20:11:49+00:00</PPModeratedDate>
    <PPRStatus xmlns="http://schemas.microsoft.com/sharepoint/v3" xsi:nil="true"/>
    <PPSubmittedDate xmlns="16795be8-4374-4e44-895d-be6cdbab3e2c">2022-07-01T05:39:06+00:00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/>
        <AccountId xsi:nil="true"/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>false</PPRNewVersion>
    <PPRContentOwner xmlns="http://schemas.microsoft.com/sharepoint/v3">CFO, Finance and Assurance Services</PPRContentOwner>
    <PPRNominatedApprovers xmlns="http://schemas.microsoft.com/sharepoint/v3">ED; ADG; DDG</PPRNominatedApprovers>
    <PPRVersionNumber xmlns="http://schemas.microsoft.com/sharepoint/v3" xsi:nil="true"/>
    <PPReviewDate xmlns="16795be8-4374-4e44-895d-be6cdbab3e2c" xsi:nil="true"/>
    <PPRBusinessUnit xmlns="http://schemas.microsoft.com/sharepoint/v3">Financial Business Policy</PPRBusinessUnit>
    <PPRContentAuthor xmlns="http://schemas.microsoft.com/sharepoint/v3">Liz Wells, Director</PPRContentAuthor>
    <PPRDivision xmlns="http://schemas.microsoft.com/sharepoint/v3">Finance and Assurance Services</PPRDivision>
    <PPRPublishedDate xmlns="http://schemas.microsoft.com/sharepoint/v3" xsi:nil="true"/>
    <PPRSecondarySubCategory xmlns="16795be8-4374-4e44-895d-be6cdbab3e2c"/>
    <PPRDescription xmlns="http://schemas.microsoft.com/sharepoint/v3">Catering guidelines</PPRDescription>
    <PPContentApprover xmlns="16795be8-4374-4e44-895d-be6cdbab3e2c">
      <UserInfo>
        <DisplayName/>
        <AccountId xsi:nil="true"/>
        <AccountType/>
      </UserInfo>
    </PPContentApprover>
    <PPPublishedNotificationAddresses xmlns="16795be8-4374-4e44-895d-be6cdbab3e2c">kristyn.kurz@qed.qld.gov.au</PPPublishedNotificationAddresses>
  </documentManagement>
</p:properties>
</file>

<file path=customXml/itemProps1.xml><?xml version="1.0" encoding="utf-8"?>
<ds:datastoreItem xmlns:ds="http://schemas.openxmlformats.org/officeDocument/2006/customXml" ds:itemID="{6373DDFD-C4DF-411D-AB04-6D8EE26DC98E}"/>
</file>

<file path=customXml/itemProps2.xml><?xml version="1.0" encoding="utf-8"?>
<ds:datastoreItem xmlns:ds="http://schemas.openxmlformats.org/officeDocument/2006/customXml" ds:itemID="{42315552-4FD3-4374-AE15-2A87B3732989}"/>
</file>

<file path=customXml/itemProps3.xml><?xml version="1.0" encoding="utf-8"?>
<ds:datastoreItem xmlns:ds="http://schemas.openxmlformats.org/officeDocument/2006/customXml" ds:itemID="{DC14E8A1-D1FE-4A4D-8164-B3AE8B5DE5F5}"/>
</file>

<file path=customXml/itemProps4.xml><?xml version="1.0" encoding="utf-8"?>
<ds:datastoreItem xmlns:ds="http://schemas.openxmlformats.org/officeDocument/2006/customXml" ds:itemID="{432E681F-9140-4687-8823-5F35E25181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guidelines</dc:title>
  <dc:creator>SCANLON, Amanda</dc:creator>
  <cp:lastModifiedBy>WELLS, Liz</cp:lastModifiedBy>
  <cp:revision>3</cp:revision>
  <cp:lastPrinted>2022-05-06T06:18:00Z</cp:lastPrinted>
  <dcterms:created xsi:type="dcterms:W3CDTF">2022-07-01T01:56:00Z</dcterms:created>
  <dcterms:modified xsi:type="dcterms:W3CDTF">2022-07-01T02:00:00Z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4200</vt:r8>
  </property>
</Properties>
</file>