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A34E0" w14:textId="77777777" w:rsidR="00A13BAF" w:rsidRDefault="00A13BAF" w:rsidP="00A13BAF"/>
    <w:p w14:paraId="638B6850" w14:textId="77777777" w:rsidR="00A13BAF" w:rsidRDefault="00A13BAF" w:rsidP="00A13BAF"/>
    <w:p w14:paraId="762DB753" w14:textId="77777777" w:rsidR="00F632C4" w:rsidRPr="00EE27F9" w:rsidRDefault="00F632C4" w:rsidP="00EE27F9"/>
    <w:p w14:paraId="52DEEB6E" w14:textId="08F89466" w:rsidR="00F632C4" w:rsidRDefault="00482A79" w:rsidP="00F632C4">
      <w:pPr>
        <w:rPr>
          <w:b/>
          <w:sz w:val="44"/>
          <w:szCs w:val="44"/>
        </w:rPr>
      </w:pPr>
      <w:r>
        <w:rPr>
          <w:b/>
          <w:sz w:val="44"/>
          <w:szCs w:val="44"/>
        </w:rPr>
        <w:t>Departmental m</w:t>
      </w:r>
      <w:r w:rsidR="00E7501F" w:rsidRPr="00F632C4">
        <w:rPr>
          <w:b/>
          <w:sz w:val="44"/>
          <w:szCs w:val="44"/>
        </w:rPr>
        <w:t>obile</w:t>
      </w:r>
      <w:r w:rsidR="00F632C4" w:rsidRPr="00F632C4">
        <w:rPr>
          <w:b/>
          <w:sz w:val="44"/>
          <w:szCs w:val="44"/>
        </w:rPr>
        <w:t xml:space="preserve"> devices and services – </w:t>
      </w:r>
    </w:p>
    <w:p w14:paraId="4CFAB39A" w14:textId="77777777" w:rsidR="00F632C4" w:rsidRPr="00F632C4" w:rsidRDefault="00F632C4" w:rsidP="00F632C4">
      <w:pPr>
        <w:rPr>
          <w:b/>
          <w:sz w:val="44"/>
          <w:szCs w:val="44"/>
        </w:rPr>
      </w:pPr>
      <w:r w:rsidRPr="00F632C4">
        <w:rPr>
          <w:b/>
          <w:sz w:val="44"/>
          <w:szCs w:val="44"/>
        </w:rPr>
        <w:t>Conditions of use</w:t>
      </w:r>
    </w:p>
    <w:p w14:paraId="48C8F037" w14:textId="2BD0EED8" w:rsidR="00A13BAF" w:rsidRDefault="00A13BAF" w:rsidP="00A13BAF">
      <w:pPr>
        <w:pStyle w:val="BlockText"/>
      </w:pPr>
      <w:r>
        <w:t>This document</w:t>
      </w:r>
      <w:r w:rsidRPr="006A252F">
        <w:t xml:space="preserve"> </w:t>
      </w:r>
      <w:r>
        <w:t xml:space="preserve">supports the </w:t>
      </w:r>
      <w:hyperlink r:id="rId11" w:history="1">
        <w:r w:rsidR="000B0A57">
          <w:rPr>
            <w:rStyle w:val="Hyperlink"/>
          </w:rPr>
          <w:t>Use of mobile devices</w:t>
        </w:r>
      </w:hyperlink>
      <w:r w:rsidR="009D4AF2">
        <w:t xml:space="preserve"> </w:t>
      </w:r>
      <w:r w:rsidR="000B0A57" w:rsidRPr="000B0A57">
        <w:t>procedure</w:t>
      </w:r>
      <w:r w:rsidR="000B0A57">
        <w:t xml:space="preserve"> </w:t>
      </w:r>
      <w:r>
        <w:t xml:space="preserve">by providing </w:t>
      </w:r>
      <w:r w:rsidR="00E6432B">
        <w:t xml:space="preserve">the conditions of use </w:t>
      </w:r>
      <w:r w:rsidR="00494ABC">
        <w:t xml:space="preserve">of </w:t>
      </w:r>
      <w:r>
        <w:t>d</w:t>
      </w:r>
      <w:r w:rsidRPr="006A252F">
        <w:t>epartmental</w:t>
      </w:r>
      <w:r>
        <w:t>ly-</w:t>
      </w:r>
      <w:r w:rsidRPr="006A252F">
        <w:t>funded mobile device</w:t>
      </w:r>
      <w:r w:rsidR="00E6432B">
        <w:t>s</w:t>
      </w:r>
      <w:r w:rsidRPr="006A252F">
        <w:t xml:space="preserve"> and service</w:t>
      </w:r>
      <w:r w:rsidR="00E6432B">
        <w:t>s allocated to employees</w:t>
      </w:r>
      <w:r w:rsidRPr="006A252F">
        <w:t>.</w:t>
      </w:r>
      <w:r>
        <w:t xml:space="preserve"> </w:t>
      </w:r>
      <w:r w:rsidRPr="006A252F">
        <w:t>This includes new and existing users.</w:t>
      </w:r>
    </w:p>
    <w:p w14:paraId="5FB43C94" w14:textId="2E7B7512" w:rsidR="00A13BAF" w:rsidRDefault="00A13BAF" w:rsidP="00A13BAF">
      <w:pPr>
        <w:pStyle w:val="Heading3"/>
      </w:pPr>
      <w:r>
        <w:t>Integrity and impartiality</w:t>
      </w:r>
    </w:p>
    <w:p w14:paraId="2084E85D" w14:textId="037FD6CA" w:rsidR="00A13BAF" w:rsidRDefault="008B127E" w:rsidP="00A13BAF">
      <w:pPr>
        <w:pStyle w:val="BlockText"/>
      </w:pPr>
      <w:r>
        <w:t>As an e</w:t>
      </w:r>
      <w:r w:rsidR="00A13BAF">
        <w:rPr>
          <w:rFonts w:hint="eastAsia"/>
        </w:rPr>
        <w:t>mployee</w:t>
      </w:r>
      <w:r>
        <w:t xml:space="preserve"> you</w:t>
      </w:r>
      <w:r w:rsidR="00A13BAF">
        <w:rPr>
          <w:rFonts w:hint="eastAsia"/>
        </w:rPr>
        <w:t xml:space="preserve"> </w:t>
      </w:r>
      <w:r w:rsidR="00DB08E5">
        <w:t>must</w:t>
      </w:r>
      <w:r w:rsidR="005D43EB">
        <w:t xml:space="preserve"> d</w:t>
      </w:r>
      <w:r w:rsidR="00A13BAF">
        <w:rPr>
          <w:rFonts w:hint="eastAsia"/>
        </w:rPr>
        <w:t>emonstrate a high standard of workplace behaviour and personal conduct</w:t>
      </w:r>
      <w:r w:rsidR="00A13BAF">
        <w:t xml:space="preserve"> when using departmental mobile devices and services</w:t>
      </w:r>
      <w:r w:rsidR="00A13BAF">
        <w:rPr>
          <w:rFonts w:hint="eastAsia"/>
        </w:rPr>
        <w:t>.</w:t>
      </w:r>
    </w:p>
    <w:p w14:paraId="25D2EF29" w14:textId="4F173D0A" w:rsidR="00A13BAF" w:rsidRDefault="00A13BAF" w:rsidP="00A13BAF">
      <w:pPr>
        <w:pStyle w:val="BlockText"/>
      </w:pPr>
      <w:r>
        <w:t xml:space="preserve">Use of mobile devices and services are to conform to the government’s </w:t>
      </w:r>
      <w:hyperlink r:id="rId12" w:history="1">
        <w:r w:rsidRPr="00CC1947">
          <w:rPr>
            <w:rStyle w:val="Hyperlink"/>
          </w:rPr>
          <w:t xml:space="preserve">Code of Conduct for the Queensland </w:t>
        </w:r>
        <w:r w:rsidR="00DB08E5">
          <w:rPr>
            <w:rStyle w:val="Hyperlink"/>
          </w:rPr>
          <w:t>Public Service</w:t>
        </w:r>
      </w:hyperlink>
      <w:r w:rsidR="00CC1947">
        <w:rPr>
          <w:rStyle w:val="Hyperlink"/>
          <w:color w:val="auto"/>
          <w:u w:val="none"/>
        </w:rPr>
        <w:t xml:space="preserve"> </w:t>
      </w:r>
      <w:r>
        <w:t xml:space="preserve">and the department's </w:t>
      </w:r>
      <w:hyperlink r:id="rId13" w:history="1">
        <w:r w:rsidRPr="00CC1947">
          <w:rPr>
            <w:rStyle w:val="Hyperlink"/>
          </w:rPr>
          <w:t>Standard of Practice</w:t>
        </w:r>
      </w:hyperlink>
      <w:r w:rsidRPr="0021655F">
        <w:t xml:space="preserve"> </w:t>
      </w:r>
      <w:r>
        <w:t>with respect to:</w:t>
      </w:r>
    </w:p>
    <w:p w14:paraId="282DB44A" w14:textId="59630B9C" w:rsidR="00A13BAF" w:rsidRDefault="00E81C4C" w:rsidP="00A13BAF">
      <w:pPr>
        <w:pStyle w:val="Bullet1"/>
        <w:numPr>
          <w:ilvl w:val="0"/>
          <w:numId w:val="1"/>
        </w:numPr>
        <w:ind w:left="284" w:hanging="284"/>
      </w:pPr>
      <w:r>
        <w:t xml:space="preserve">appropriate </w:t>
      </w:r>
      <w:r w:rsidR="00A13BAF">
        <w:t>use of email, internet, intranet, short message services (SMS) and multi-media messaging services (MMS)</w:t>
      </w:r>
    </w:p>
    <w:p w14:paraId="7C14C5CE" w14:textId="5A5FC23F" w:rsidR="005D43EB" w:rsidRPr="005D43EB" w:rsidRDefault="00A13BAF" w:rsidP="005B486B">
      <w:pPr>
        <w:pStyle w:val="Bullet1"/>
        <w:numPr>
          <w:ilvl w:val="0"/>
          <w:numId w:val="1"/>
        </w:numPr>
        <w:ind w:left="284" w:hanging="284"/>
        <w:rPr>
          <w:b/>
        </w:rPr>
      </w:pPr>
      <w:proofErr w:type="gramStart"/>
      <w:r>
        <w:t>respecting</w:t>
      </w:r>
      <w:proofErr w:type="gramEnd"/>
      <w:r>
        <w:t xml:space="preserve"> the dignity, rights and views of others.</w:t>
      </w:r>
    </w:p>
    <w:p w14:paraId="12D17675" w14:textId="7EB836A1" w:rsidR="00A13BAF" w:rsidRDefault="00A13BAF" w:rsidP="00A13BAF">
      <w:pPr>
        <w:pStyle w:val="Heading3"/>
      </w:pPr>
      <w:r>
        <w:t>Accountability and transparency</w:t>
      </w:r>
    </w:p>
    <w:p w14:paraId="08BA1497" w14:textId="0886BDD8" w:rsidR="00A13BAF" w:rsidRDefault="008B127E" w:rsidP="00A13BAF">
      <w:pPr>
        <w:pStyle w:val="BlockText"/>
      </w:pPr>
      <w:r>
        <w:t>As an e</w:t>
      </w:r>
      <w:r w:rsidR="00A13BAF">
        <w:rPr>
          <w:rFonts w:hint="eastAsia"/>
        </w:rPr>
        <w:t>mployee</w:t>
      </w:r>
      <w:r>
        <w:t xml:space="preserve"> you</w:t>
      </w:r>
      <w:r w:rsidR="00A13BAF">
        <w:rPr>
          <w:rFonts w:hint="eastAsia"/>
        </w:rPr>
        <w:t xml:space="preserve"> are accountable for </w:t>
      </w:r>
      <w:r w:rsidR="00A13BAF">
        <w:t xml:space="preserve">the mobile </w:t>
      </w:r>
      <w:r w:rsidR="0060412D">
        <w:t>device</w:t>
      </w:r>
      <w:r w:rsidR="005D43EB">
        <w:t>/</w:t>
      </w:r>
      <w:r w:rsidR="0060412D">
        <w:t>s</w:t>
      </w:r>
      <w:r w:rsidR="00A13BAF">
        <w:t xml:space="preserve"> and services provided to </w:t>
      </w:r>
      <w:r>
        <w:t xml:space="preserve">you </w:t>
      </w:r>
      <w:r w:rsidR="00A13BAF">
        <w:t>for</w:t>
      </w:r>
      <w:r w:rsidR="00A13BAF">
        <w:rPr>
          <w:rFonts w:hint="eastAsia"/>
        </w:rPr>
        <w:t xml:space="preserve"> </w:t>
      </w:r>
      <w:r>
        <w:t xml:space="preserve">your </w:t>
      </w:r>
      <w:r w:rsidR="00A13BAF">
        <w:rPr>
          <w:rFonts w:hint="eastAsia"/>
        </w:rPr>
        <w:t xml:space="preserve">use in the course of </w:t>
      </w:r>
      <w:r>
        <w:t>your</w:t>
      </w:r>
      <w:r>
        <w:rPr>
          <w:rFonts w:hint="eastAsia"/>
        </w:rPr>
        <w:t xml:space="preserve"> </w:t>
      </w:r>
      <w:r w:rsidR="00A13BAF">
        <w:rPr>
          <w:rFonts w:hint="eastAsia"/>
        </w:rPr>
        <w:t>duties</w:t>
      </w:r>
      <w:r w:rsidR="00A13BAF">
        <w:t xml:space="preserve">. This includes monitoring and compliance against these conditions of use. </w:t>
      </w:r>
      <w:r>
        <w:t>You</w:t>
      </w:r>
      <w:r>
        <w:rPr>
          <w:rFonts w:hint="eastAsia"/>
        </w:rPr>
        <w:t xml:space="preserve"> </w:t>
      </w:r>
      <w:r w:rsidR="00446D5E">
        <w:t xml:space="preserve">must </w:t>
      </w:r>
      <w:r w:rsidR="00A13BAF">
        <w:rPr>
          <w:rFonts w:hint="eastAsia"/>
        </w:rPr>
        <w:t xml:space="preserve">be economical in </w:t>
      </w:r>
      <w:r w:rsidR="00446D5E">
        <w:t>your</w:t>
      </w:r>
      <w:r w:rsidR="00A13BAF">
        <w:rPr>
          <w:rFonts w:hint="eastAsia"/>
        </w:rPr>
        <w:t xml:space="preserve"> use of public resources for proper purposes.</w:t>
      </w:r>
    </w:p>
    <w:p w14:paraId="65B48D2A" w14:textId="7BEF139F" w:rsidR="00A13BAF" w:rsidRDefault="0029415A" w:rsidP="00A13BAF">
      <w:pPr>
        <w:pStyle w:val="BlockText"/>
      </w:pPr>
      <w:r>
        <w:t xml:space="preserve">The department’s </w:t>
      </w:r>
      <w:r w:rsidR="00A13BAF">
        <w:t xml:space="preserve">mobile devices are intended for business use </w:t>
      </w:r>
      <w:r w:rsidR="00C84C09">
        <w:t xml:space="preserve">with </w:t>
      </w:r>
      <w:hyperlink r:id="rId14" w:history="1">
        <w:r w:rsidR="00C84C09" w:rsidRPr="00121B95">
          <w:rPr>
            <w:rStyle w:val="Hyperlink"/>
          </w:rPr>
          <w:t>limited personal use</w:t>
        </w:r>
      </w:hyperlink>
      <w:r w:rsidR="00A13BAF">
        <w:t xml:space="preserve">. The department monitors usage of </w:t>
      </w:r>
      <w:r w:rsidRPr="005D43EB">
        <w:t>their</w:t>
      </w:r>
      <w:r w:rsidR="00A13BAF">
        <w:t xml:space="preserve"> voice and/or data services. This includes reviewing calls, SMS, MMS, data download activity, internet access and expenses incurred. </w:t>
      </w:r>
    </w:p>
    <w:p w14:paraId="5A9879D2" w14:textId="6295E0CE" w:rsidR="00A13BAF" w:rsidRPr="00035A8E" w:rsidRDefault="00A13BAF" w:rsidP="00A13BAF">
      <w:pPr>
        <w:pStyle w:val="BlockText"/>
      </w:pPr>
      <w:r w:rsidRPr="00035A8E">
        <w:t xml:space="preserve">Where abnormal usage is </w:t>
      </w:r>
      <w:r w:rsidR="003D45E3" w:rsidRPr="00035A8E">
        <w:t>detected,</w:t>
      </w:r>
      <w:r w:rsidRPr="00035A8E">
        <w:t xml:space="preserve"> the department reserves the right to limit or temporarily suspend your service at its discretion.</w:t>
      </w:r>
      <w:r w:rsidR="00CF7AFA">
        <w:t xml:space="preserve"> </w:t>
      </w:r>
      <w:r w:rsidRPr="00035A8E">
        <w:t xml:space="preserve">Regular reporting identifies top usage among users and your voice, </w:t>
      </w:r>
      <w:r w:rsidR="006C230A">
        <w:t>SMS, MMS</w:t>
      </w:r>
      <w:r w:rsidRPr="00035A8E">
        <w:t xml:space="preserve"> </w:t>
      </w:r>
      <w:r w:rsidR="007864A5">
        <w:t>and</w:t>
      </w:r>
      <w:r w:rsidR="007864A5" w:rsidRPr="00035A8E">
        <w:t xml:space="preserve"> </w:t>
      </w:r>
      <w:r w:rsidRPr="00035A8E">
        <w:t xml:space="preserve">data usage will be reviewed. </w:t>
      </w:r>
    </w:p>
    <w:p w14:paraId="268646E8" w14:textId="30AD10F0" w:rsidR="00A13BAF" w:rsidRPr="00035A8E" w:rsidRDefault="00A13BAF" w:rsidP="00A13BAF">
      <w:pPr>
        <w:pStyle w:val="BlockText"/>
      </w:pPr>
      <w:r w:rsidRPr="00035A8E">
        <w:t>If you are identified as an excessive user you may be requested to reduce your usage.</w:t>
      </w:r>
      <w:r w:rsidR="00CF7AFA">
        <w:t xml:space="preserve"> </w:t>
      </w:r>
      <w:r w:rsidRPr="00035A8E">
        <w:t xml:space="preserve">If the excessive usage continues your service may be suspended and barred without notice where we deem your use to be unreasonable. </w:t>
      </w:r>
    </w:p>
    <w:p w14:paraId="085AEF0D" w14:textId="35BC894F" w:rsidR="00A13BAF" w:rsidRDefault="00A13BAF" w:rsidP="00A13BAF">
      <w:pPr>
        <w:pStyle w:val="BlockText"/>
      </w:pPr>
      <w:r w:rsidRPr="00035A8E">
        <w:t xml:space="preserve">To avoid large overuse of your data it is recommended that you connect to the internet via </w:t>
      </w:r>
      <w:r w:rsidR="00560D38">
        <w:t xml:space="preserve">a secure </w:t>
      </w:r>
      <w:r w:rsidRPr="00035A8E">
        <w:t>Wi-Fi when it is available to you and to switch off your mobile data when you are using Wi-Fi</w:t>
      </w:r>
      <w:r w:rsidR="00634349">
        <w:t>.</w:t>
      </w:r>
      <w:r w:rsidRPr="00035A8E">
        <w:t xml:space="preserve"> Note</w:t>
      </w:r>
      <w:r w:rsidR="005D43EB">
        <w:t xml:space="preserve"> that s</w:t>
      </w:r>
      <w:r w:rsidRPr="00035A8E">
        <w:t>ometimes Wi-Fi connections become unstable and your device may automatically revert back to connecting to the internet via the mobile service in the middle of a large download</w:t>
      </w:r>
      <w:r w:rsidR="00634349">
        <w:t>.</w:t>
      </w:r>
    </w:p>
    <w:p w14:paraId="2391851D" w14:textId="68E14834" w:rsidR="00A13BAF" w:rsidRDefault="008B127E" w:rsidP="00A13BAF">
      <w:pPr>
        <w:pStyle w:val="BlockText"/>
      </w:pPr>
      <w:r>
        <w:t>As an e</w:t>
      </w:r>
      <w:r w:rsidR="00A13BAF">
        <w:t>mployee</w:t>
      </w:r>
      <w:r>
        <w:t xml:space="preserve"> you</w:t>
      </w:r>
      <w:r w:rsidR="00A13BAF">
        <w:t xml:space="preserve"> must further ensure:</w:t>
      </w:r>
    </w:p>
    <w:p w14:paraId="20AC76A3" w14:textId="2D7A9F9B" w:rsidR="00A13BAF" w:rsidRDefault="00D76495" w:rsidP="00A13BAF">
      <w:pPr>
        <w:pStyle w:val="Bullet1"/>
        <w:numPr>
          <w:ilvl w:val="0"/>
          <w:numId w:val="1"/>
        </w:numPr>
        <w:ind w:left="284" w:hanging="284"/>
      </w:pPr>
      <w:r>
        <w:t>y</w:t>
      </w:r>
      <w:r w:rsidR="008B127E">
        <w:t>our u</w:t>
      </w:r>
      <w:r w:rsidR="00A13BAF">
        <w:t xml:space="preserve">se can withstand public scrutiny and/or disclosure of usage with respect to limited </w:t>
      </w:r>
      <w:r w:rsidR="006C230A">
        <w:t xml:space="preserve">personal </w:t>
      </w:r>
      <w:r w:rsidR="00A13BAF">
        <w:t>use (including SMS, MMS, data use and phone calls)</w:t>
      </w:r>
    </w:p>
    <w:p w14:paraId="13502189" w14:textId="6C1D01FD" w:rsidR="00A13BAF" w:rsidRDefault="00D76495" w:rsidP="000B0A57">
      <w:pPr>
        <w:pStyle w:val="Bullet1"/>
      </w:pPr>
      <w:r>
        <w:t>y</w:t>
      </w:r>
      <w:r w:rsidR="008B127E">
        <w:t xml:space="preserve">ou </w:t>
      </w:r>
      <w:r w:rsidR="00A13BAF">
        <w:t>are responsible for limiting personal use of the mobile device and service as identified and informed by</w:t>
      </w:r>
      <w:r w:rsidR="006C230A">
        <w:t xml:space="preserve"> </w:t>
      </w:r>
      <w:r w:rsidR="008B127E">
        <w:t>your</w:t>
      </w:r>
      <w:r w:rsidR="006C230A">
        <w:t xml:space="preserve"> manager,</w:t>
      </w:r>
      <w:r w:rsidR="00A13BAF">
        <w:t xml:space="preserve"> director</w:t>
      </w:r>
      <w:r w:rsidR="00560D38">
        <w:t>,</w:t>
      </w:r>
      <w:r w:rsidR="00A13BAF">
        <w:t xml:space="preserve"> principal</w:t>
      </w:r>
      <w:r w:rsidR="00560D38">
        <w:t xml:space="preserve"> or above</w:t>
      </w:r>
      <w:r w:rsidR="00A13BAF">
        <w:t xml:space="preserve">, see the </w:t>
      </w:r>
      <w:hyperlink r:id="rId15" w:history="1">
        <w:r w:rsidR="000B0A57">
          <w:rPr>
            <w:rStyle w:val="Hyperlink"/>
          </w:rPr>
          <w:t>Use of ICT facilities and devices</w:t>
        </w:r>
      </w:hyperlink>
      <w:r w:rsidR="000B0A57" w:rsidRPr="009D2183">
        <w:t xml:space="preserve"> guideline</w:t>
      </w:r>
    </w:p>
    <w:p w14:paraId="042341D7" w14:textId="28CC8788" w:rsidR="00A13BAF" w:rsidRDefault="00D76495" w:rsidP="00216B5C">
      <w:pPr>
        <w:pStyle w:val="Bullet1"/>
      </w:pPr>
      <w:proofErr w:type="gramStart"/>
      <w:r>
        <w:t>w</w:t>
      </w:r>
      <w:r w:rsidR="00A13BAF">
        <w:t>hen</w:t>
      </w:r>
      <w:proofErr w:type="gramEnd"/>
      <w:r w:rsidR="00A13BAF">
        <w:t xml:space="preserve"> travelling overseas, initial approval must be sought to take a departmental device overseas. In addition an application, via </w:t>
      </w:r>
      <w:hyperlink r:id="rId16" w:history="1">
        <w:r w:rsidR="00A13BAF" w:rsidRPr="00F43AA9">
          <w:rPr>
            <w:rStyle w:val="Hyperlink"/>
          </w:rPr>
          <w:t>Service</w:t>
        </w:r>
        <w:r w:rsidR="00CF4248">
          <w:rPr>
            <w:rStyle w:val="Hyperlink"/>
          </w:rPr>
          <w:t>s</w:t>
        </w:r>
        <w:r w:rsidR="00A13BAF" w:rsidRPr="00F43AA9">
          <w:rPr>
            <w:rStyle w:val="Hyperlink"/>
          </w:rPr>
          <w:t xml:space="preserve"> </w:t>
        </w:r>
        <w:r w:rsidR="00CF4248">
          <w:rPr>
            <w:rStyle w:val="Hyperlink"/>
          </w:rPr>
          <w:t>Catalogue</w:t>
        </w:r>
        <w:r w:rsidR="00CF4248" w:rsidRPr="00F43AA9">
          <w:rPr>
            <w:rStyle w:val="Hyperlink"/>
          </w:rPr>
          <w:t xml:space="preserve"> </w:t>
        </w:r>
        <w:r w:rsidR="00A13BAF" w:rsidRPr="00F43AA9">
          <w:rPr>
            <w:rStyle w:val="Hyperlink"/>
          </w:rPr>
          <w:t>Online</w:t>
        </w:r>
      </w:hyperlink>
      <w:r w:rsidR="00A13BAF">
        <w:t xml:space="preserve"> </w:t>
      </w:r>
      <w:r w:rsidR="00216B5C">
        <w:t>(</w:t>
      </w:r>
      <w:r w:rsidR="00216B5C" w:rsidRPr="00216B5C">
        <w:t>KBA0010976</w:t>
      </w:r>
      <w:r w:rsidR="00216B5C">
        <w:t>)</w:t>
      </w:r>
      <w:r w:rsidR="00216B5C" w:rsidRPr="00216B5C">
        <w:t xml:space="preserve"> </w:t>
      </w:r>
      <w:r w:rsidR="00A13BAF">
        <w:t>(</w:t>
      </w:r>
      <w:r w:rsidR="00CF4248">
        <w:t xml:space="preserve">DoE </w:t>
      </w:r>
      <w:r w:rsidR="00A13BAF">
        <w:t xml:space="preserve">employees only), must be completed to apply an International Roaming Casual Voice and/or Data pack to a mobile service and approved by </w:t>
      </w:r>
      <w:r w:rsidR="008B127E">
        <w:t xml:space="preserve">your </w:t>
      </w:r>
      <w:r w:rsidR="00A13BAF">
        <w:t xml:space="preserve">director, principal or </w:t>
      </w:r>
      <w:r w:rsidR="00D57CA7">
        <w:t>above</w:t>
      </w:r>
    </w:p>
    <w:p w14:paraId="57A18A01" w14:textId="1A79D2FF" w:rsidR="00A13BAF" w:rsidRDefault="00D76495" w:rsidP="00A13BAF">
      <w:pPr>
        <w:pStyle w:val="Bullet1"/>
        <w:numPr>
          <w:ilvl w:val="0"/>
          <w:numId w:val="1"/>
        </w:numPr>
        <w:ind w:left="284" w:hanging="284"/>
      </w:pPr>
      <w:proofErr w:type="gramStart"/>
      <w:r>
        <w:t>d</w:t>
      </w:r>
      <w:r w:rsidR="00A13BAF">
        <w:t>uring</w:t>
      </w:r>
      <w:proofErr w:type="gramEnd"/>
      <w:r w:rsidR="00A13BAF">
        <w:t xml:space="preserve"> vacation periods, the mobile device and service is to be used under the existing conditions of use ensuring there is a legitimate business requirement.</w:t>
      </w:r>
      <w:bookmarkStart w:id="0" w:name="_GoBack"/>
      <w:bookmarkEnd w:id="0"/>
    </w:p>
    <w:p w14:paraId="6B382B57" w14:textId="77777777" w:rsidR="00A13BAF" w:rsidRDefault="00A13BAF" w:rsidP="00A13BAF">
      <w:pPr>
        <w:pStyle w:val="Heading3"/>
      </w:pPr>
      <w:r>
        <w:lastRenderedPageBreak/>
        <w:t>Health and safety</w:t>
      </w:r>
    </w:p>
    <w:p w14:paraId="64E3A6C8" w14:textId="77777777" w:rsidR="00A13BAF" w:rsidRDefault="00A13BAF" w:rsidP="00A13BAF">
      <w:pPr>
        <w:pStyle w:val="Bullet1"/>
        <w:numPr>
          <w:ilvl w:val="0"/>
          <w:numId w:val="1"/>
        </w:numPr>
        <w:ind w:left="284" w:hanging="284"/>
      </w:pPr>
      <w:r>
        <w:t xml:space="preserve">The World Health Organisation provides health and safety information on </w:t>
      </w:r>
      <w:hyperlink r:id="rId17" w:history="1">
        <w:r w:rsidRPr="00A4202F">
          <w:rPr>
            <w:rStyle w:val="Hyperlink"/>
          </w:rPr>
          <w:t>Electromagnetic fields and public health: mobile phones</w:t>
        </w:r>
      </w:hyperlink>
      <w:r w:rsidRPr="00711196">
        <w:t>.</w:t>
      </w:r>
    </w:p>
    <w:p w14:paraId="0C82425E" w14:textId="63689555" w:rsidR="00A13BAF" w:rsidRDefault="00A13BAF" w:rsidP="00CF4248">
      <w:pPr>
        <w:pStyle w:val="Bullet1"/>
      </w:pPr>
      <w:r>
        <w:t xml:space="preserve">In accordance </w:t>
      </w:r>
      <w:r w:rsidRPr="00CF4248">
        <w:t xml:space="preserve">with </w:t>
      </w:r>
      <w:hyperlink r:id="rId18" w:history="1">
        <w:r w:rsidRPr="009D2183">
          <w:rPr>
            <w:rStyle w:val="Hyperlink"/>
          </w:rPr>
          <w:t>Transport Operations (Road Use Management</w:t>
        </w:r>
        <w:r w:rsidR="007E37BA" w:rsidRPr="009D2183">
          <w:rPr>
            <w:rStyle w:val="Hyperlink"/>
          </w:rPr>
          <w:t>—</w:t>
        </w:r>
        <w:r w:rsidRPr="009D2183">
          <w:rPr>
            <w:rStyle w:val="Hyperlink"/>
          </w:rPr>
          <w:t>Road Rules) Regulation 200</w:t>
        </w:r>
        <w:r w:rsidR="00216B5C" w:rsidRPr="009D2183">
          <w:rPr>
            <w:rStyle w:val="Hyperlink"/>
          </w:rPr>
          <w:t xml:space="preserve">9 </w:t>
        </w:r>
        <w:r w:rsidR="00216B5C" w:rsidRPr="009C7762">
          <w:rPr>
            <w:rStyle w:val="Hyperlink"/>
          </w:rPr>
          <w:t>(</w:t>
        </w:r>
        <w:r w:rsidR="00216B5C">
          <w:rPr>
            <w:rStyle w:val="Hyperlink"/>
          </w:rPr>
          <w:t>Qld)</w:t>
        </w:r>
      </w:hyperlink>
      <w:r w:rsidRPr="00CF4248">
        <w:t xml:space="preserve">, drivers must not use a mobile phone while a vehicle is moving or is stationary but not </w:t>
      </w:r>
      <w:r>
        <w:t xml:space="preserve">parked. It is recommended that where necessary, a hands free kit is used. </w:t>
      </w:r>
      <w:r>
        <w:rPr>
          <w:rFonts w:hint="eastAsia"/>
        </w:rPr>
        <w:t xml:space="preserve">The department is not liable for fines incurred by </w:t>
      </w:r>
      <w:r w:rsidR="008B127E">
        <w:t>you</w:t>
      </w:r>
      <w:r>
        <w:rPr>
          <w:rFonts w:hint="eastAsia"/>
        </w:rPr>
        <w:t xml:space="preserve"> if </w:t>
      </w:r>
      <w:r w:rsidR="008B127E">
        <w:t>you</w:t>
      </w:r>
      <w:r w:rsidR="008B127E">
        <w:rPr>
          <w:rFonts w:hint="eastAsia"/>
        </w:rPr>
        <w:t xml:space="preserve"> </w:t>
      </w:r>
      <w:r>
        <w:rPr>
          <w:rFonts w:hint="eastAsia"/>
        </w:rPr>
        <w:t>operate a mobile device in a motor vehicle in an unlawful manner.</w:t>
      </w:r>
    </w:p>
    <w:p w14:paraId="7C38BF5A" w14:textId="77777777" w:rsidR="00A13BAF" w:rsidRDefault="00A13BAF" w:rsidP="00A13BAF">
      <w:pPr>
        <w:pStyle w:val="Heading3"/>
      </w:pPr>
      <w:r>
        <w:t>Security</w:t>
      </w:r>
    </w:p>
    <w:p w14:paraId="2811CA2C" w14:textId="3BF2857A" w:rsidR="00A13BAF" w:rsidRDefault="008B127E" w:rsidP="00A13BAF">
      <w:pPr>
        <w:pStyle w:val="BlockText"/>
      </w:pPr>
      <w:r>
        <w:t>You are</w:t>
      </w:r>
      <w:r w:rsidR="00A13BAF">
        <w:t xml:space="preserve"> responsible for the safeguarding of the mobile device and the associated mobile service. Mobile devices are valuable items that are attractive to thieves. Loss or theft of mobile devices and unauthorised use of the mobile service can lead to misuse and financial loss for the department.</w:t>
      </w:r>
    </w:p>
    <w:p w14:paraId="4D85B1CE" w14:textId="60C64AA2" w:rsidR="00A13BAF" w:rsidRDefault="00A13BAF" w:rsidP="00A13BAF">
      <w:pPr>
        <w:pStyle w:val="Bullet1"/>
        <w:numPr>
          <w:ilvl w:val="0"/>
          <w:numId w:val="1"/>
        </w:numPr>
        <w:ind w:left="284" w:hanging="284"/>
      </w:pPr>
      <w:r>
        <w:t>Store mobile devices not being used in a secure place, preferably locked away</w:t>
      </w:r>
      <w:r w:rsidR="007957F4">
        <w:t xml:space="preserve"> and not within a vehicle</w:t>
      </w:r>
      <w:r>
        <w:t xml:space="preserve">. If there is an existing active mobile service in this </w:t>
      </w:r>
      <w:r w:rsidR="003D45E3">
        <w:t>device,</w:t>
      </w:r>
      <w:r>
        <w:t xml:space="preserve"> organise a cancellation of the service via </w:t>
      </w:r>
      <w:hyperlink r:id="rId19" w:history="1">
        <w:r w:rsidRPr="00F43AA9">
          <w:rPr>
            <w:rStyle w:val="Hyperlink"/>
          </w:rPr>
          <w:t>Service</w:t>
        </w:r>
        <w:r w:rsidR="00CF4248">
          <w:rPr>
            <w:rStyle w:val="Hyperlink"/>
          </w:rPr>
          <w:t>s</w:t>
        </w:r>
        <w:r w:rsidRPr="00F43AA9">
          <w:rPr>
            <w:rStyle w:val="Hyperlink"/>
          </w:rPr>
          <w:t xml:space="preserve"> </w:t>
        </w:r>
        <w:r w:rsidR="00CF4248">
          <w:rPr>
            <w:rStyle w:val="Hyperlink"/>
          </w:rPr>
          <w:t>Catalogue</w:t>
        </w:r>
        <w:r w:rsidR="00CF4248" w:rsidRPr="00F43AA9">
          <w:rPr>
            <w:rStyle w:val="Hyperlink"/>
          </w:rPr>
          <w:t xml:space="preserve"> </w:t>
        </w:r>
        <w:r w:rsidRPr="00F43AA9">
          <w:rPr>
            <w:rStyle w:val="Hyperlink"/>
          </w:rPr>
          <w:t>Online</w:t>
        </w:r>
      </w:hyperlink>
      <w:r w:rsidR="00F43AA9">
        <w:rPr>
          <w:rStyle w:val="Hyperlink"/>
          <w:color w:val="auto"/>
          <w:u w:val="none"/>
        </w:rPr>
        <w:t xml:space="preserve"> </w:t>
      </w:r>
      <w:r w:rsidR="004C6A34">
        <w:rPr>
          <w:rStyle w:val="Hyperlink"/>
          <w:color w:val="auto"/>
          <w:u w:val="none"/>
        </w:rPr>
        <w:t>(KBA0010751</w:t>
      </w:r>
      <w:proofErr w:type="gramStart"/>
      <w:r w:rsidR="004C6A34">
        <w:rPr>
          <w:rStyle w:val="Hyperlink"/>
          <w:color w:val="auto"/>
          <w:u w:val="none"/>
        </w:rPr>
        <w:t>)</w:t>
      </w:r>
      <w:r w:rsidR="00F43AA9">
        <w:rPr>
          <w:rStyle w:val="Hyperlink"/>
          <w:color w:val="auto"/>
          <w:u w:val="none"/>
        </w:rPr>
        <w:t>(</w:t>
      </w:r>
      <w:proofErr w:type="gramEnd"/>
      <w:r w:rsidR="00CF4248" w:rsidRPr="003934B3">
        <w:rPr>
          <w:rStyle w:val="Hyperlink"/>
          <w:color w:val="auto"/>
          <w:u w:val="none"/>
        </w:rPr>
        <w:t>D</w:t>
      </w:r>
      <w:r w:rsidR="00CF4248">
        <w:rPr>
          <w:rStyle w:val="Hyperlink"/>
          <w:color w:val="auto"/>
          <w:u w:val="none"/>
        </w:rPr>
        <w:t>oE</w:t>
      </w:r>
      <w:r w:rsidR="00CF4248" w:rsidRPr="003934B3">
        <w:rPr>
          <w:rStyle w:val="Hyperlink"/>
          <w:color w:val="auto"/>
          <w:u w:val="none"/>
        </w:rPr>
        <w:t xml:space="preserve"> </w:t>
      </w:r>
      <w:r w:rsidRPr="003934B3">
        <w:rPr>
          <w:rStyle w:val="Hyperlink"/>
          <w:color w:val="auto"/>
          <w:u w:val="none"/>
        </w:rPr>
        <w:t>employees only)</w:t>
      </w:r>
      <w:r w:rsidRPr="003934B3">
        <w:t>.</w:t>
      </w:r>
    </w:p>
    <w:p w14:paraId="1D03120A" w14:textId="03C83CEF" w:rsidR="00A13BAF" w:rsidRPr="00F45E70" w:rsidRDefault="00A13BAF" w:rsidP="006C230A">
      <w:pPr>
        <w:pStyle w:val="Bullet1"/>
      </w:pPr>
      <w:r>
        <w:t xml:space="preserve">Contact </w:t>
      </w:r>
      <w:r w:rsidRPr="00F45E70">
        <w:t xml:space="preserve">the </w:t>
      </w:r>
      <w:r w:rsidR="006C230A">
        <w:t xml:space="preserve">IT </w:t>
      </w:r>
      <w:r w:rsidRPr="00F45E70">
        <w:t>Service Centre</w:t>
      </w:r>
      <w:r w:rsidR="006C230A">
        <w:t xml:space="preserve"> on </w:t>
      </w:r>
      <w:r w:rsidR="006C230A" w:rsidRPr="006C230A">
        <w:t>1800 680 445</w:t>
      </w:r>
      <w:r w:rsidRPr="00F45E70">
        <w:t xml:space="preserve"> if a mobile device is lost or stolen</w:t>
      </w:r>
      <w:r>
        <w:t xml:space="preserve"> to organise barring of the service</w:t>
      </w:r>
      <w:r w:rsidRPr="00F45E70">
        <w:t>.</w:t>
      </w:r>
      <w:r w:rsidR="00CF7AFA">
        <w:t xml:space="preserve"> </w:t>
      </w:r>
      <w:r w:rsidRPr="00F45E70">
        <w:t>All stolen mobile devices should be reported to the police.</w:t>
      </w:r>
    </w:p>
    <w:p w14:paraId="19D7DA2F" w14:textId="060DB599" w:rsidR="00A13BAF" w:rsidRDefault="00A13BAF" w:rsidP="00A13BAF">
      <w:pPr>
        <w:pStyle w:val="Bullet1"/>
        <w:numPr>
          <w:ilvl w:val="0"/>
          <w:numId w:val="1"/>
        </w:numPr>
        <w:ind w:left="284" w:hanging="284"/>
      </w:pPr>
      <w:r>
        <w:t xml:space="preserve">Use a </w:t>
      </w:r>
      <w:r w:rsidR="0073490D">
        <w:t>passcode/password</w:t>
      </w:r>
      <w:r w:rsidR="006E2315">
        <w:t>, face recognition</w:t>
      </w:r>
      <w:r w:rsidR="0073490D">
        <w:t xml:space="preserve"> and/or fingerprint </w:t>
      </w:r>
      <w:r>
        <w:t>on a mobile device</w:t>
      </w:r>
      <w:r w:rsidR="001A14B3">
        <w:t xml:space="preserve"> and</w:t>
      </w:r>
      <w:r w:rsidR="00560D38">
        <w:t xml:space="preserve"> connect to the department’s network at least weekly to receive updates to software</w:t>
      </w:r>
      <w:r>
        <w:t>. This is especially important if the service in the device has a data plan</w:t>
      </w:r>
      <w:r w:rsidR="0015234C">
        <w:t>,</w:t>
      </w:r>
      <w:r>
        <w:t xml:space="preserve"> the device stores contact information for other employees</w:t>
      </w:r>
      <w:r w:rsidR="007957F4">
        <w:t xml:space="preserve"> or is linked to a departmental email account</w:t>
      </w:r>
      <w:r>
        <w:t>.</w:t>
      </w:r>
    </w:p>
    <w:p w14:paraId="08D9FAAB" w14:textId="5C05D73F" w:rsidR="00A13BAF" w:rsidRDefault="00A13BAF" w:rsidP="00A13BAF">
      <w:pPr>
        <w:pStyle w:val="Bullet1"/>
        <w:numPr>
          <w:ilvl w:val="0"/>
          <w:numId w:val="1"/>
        </w:numPr>
        <w:ind w:left="284" w:hanging="284"/>
      </w:pPr>
      <w:r>
        <w:t>Identify the mobile device by stamping, engraving, stencilling or other appropriate method</w:t>
      </w:r>
      <w:r w:rsidR="009C2822">
        <w:t xml:space="preserve"> subject to any limitations within </w:t>
      </w:r>
      <w:r w:rsidR="00494ABC">
        <w:t>the manufacturer’s</w:t>
      </w:r>
      <w:r>
        <w:t xml:space="preserve"> warranty.</w:t>
      </w:r>
    </w:p>
    <w:p w14:paraId="2D723170" w14:textId="7516BEAA" w:rsidR="002F124E" w:rsidRDefault="00A13BAF" w:rsidP="00A13BAF">
      <w:pPr>
        <w:pStyle w:val="BlockText"/>
      </w:pPr>
      <w:r>
        <w:rPr>
          <w:rFonts w:hint="eastAsia"/>
        </w:rPr>
        <w:t>The department</w:t>
      </w:r>
      <w:r>
        <w:t>'</w:t>
      </w:r>
      <w:r>
        <w:rPr>
          <w:rFonts w:hint="eastAsia"/>
        </w:rPr>
        <w:t xml:space="preserve">s </w:t>
      </w:r>
      <w:hyperlink r:id="rId20" w:history="1">
        <w:r w:rsidR="000B0A57">
          <w:rPr>
            <w:rStyle w:val="Hyperlink"/>
          </w:rPr>
          <w:t>ICT asset management</w:t>
        </w:r>
      </w:hyperlink>
      <w:r w:rsidR="00216B5C">
        <w:t xml:space="preserve"> </w:t>
      </w:r>
      <w:r w:rsidR="000B0A57" w:rsidRPr="000B0A57">
        <w:t>procedure</w:t>
      </w:r>
      <w:r w:rsidR="000B0A57">
        <w:t xml:space="preserve"> </w:t>
      </w:r>
      <w:r w:rsidR="00F43AA9">
        <w:t>s</w:t>
      </w:r>
      <w:r>
        <w:rPr>
          <w:rFonts w:hint="eastAsia"/>
        </w:rPr>
        <w:t>tipulate</w:t>
      </w:r>
      <w:r w:rsidR="009C7762">
        <w:t>s</w:t>
      </w:r>
      <w:r>
        <w:rPr>
          <w:rFonts w:hint="eastAsia"/>
        </w:rPr>
        <w:t xml:space="preserve"> </w:t>
      </w:r>
      <w:r>
        <w:t xml:space="preserve">the </w:t>
      </w:r>
      <w:r>
        <w:rPr>
          <w:rFonts w:hint="eastAsia"/>
        </w:rPr>
        <w:t xml:space="preserve">processes for acquisition and recording of equipment. </w:t>
      </w:r>
    </w:p>
    <w:p w14:paraId="10DF5BD3" w14:textId="77777777" w:rsidR="00A13BAF" w:rsidRDefault="00A13BAF" w:rsidP="00A13BAF">
      <w:pPr>
        <w:pStyle w:val="Heading3"/>
      </w:pPr>
      <w:r>
        <w:t>Contractual requirements</w:t>
      </w:r>
    </w:p>
    <w:p w14:paraId="63D261BA" w14:textId="26DC0176" w:rsidR="00A13BAF" w:rsidRDefault="00A13BAF" w:rsidP="00A13BAF">
      <w:pPr>
        <w:pStyle w:val="Bullet1"/>
        <w:numPr>
          <w:ilvl w:val="0"/>
          <w:numId w:val="1"/>
        </w:numPr>
        <w:ind w:left="284" w:hanging="284"/>
      </w:pPr>
      <w:r>
        <w:t xml:space="preserve">Direct requests for porting a service to a different carrier (e.g. Telstra to Optus or Optus to Telstra) for business units and schools can be requested through the </w:t>
      </w:r>
      <w:hyperlink r:id="rId21" w:history="1">
        <w:r w:rsidR="00F43AA9" w:rsidRPr="00F43AA9">
          <w:rPr>
            <w:rStyle w:val="Hyperlink"/>
          </w:rPr>
          <w:t>Service</w:t>
        </w:r>
        <w:r w:rsidR="00CF4248">
          <w:rPr>
            <w:rStyle w:val="Hyperlink"/>
          </w:rPr>
          <w:t>s</w:t>
        </w:r>
        <w:r w:rsidR="00F43AA9" w:rsidRPr="00F43AA9">
          <w:rPr>
            <w:rStyle w:val="Hyperlink"/>
          </w:rPr>
          <w:t xml:space="preserve"> </w:t>
        </w:r>
        <w:r w:rsidR="00CF4248">
          <w:rPr>
            <w:rStyle w:val="Hyperlink"/>
          </w:rPr>
          <w:t xml:space="preserve">Catalogue </w:t>
        </w:r>
        <w:r w:rsidR="00F43AA9" w:rsidRPr="00F43AA9">
          <w:rPr>
            <w:rStyle w:val="Hyperlink"/>
          </w:rPr>
          <w:t>Online</w:t>
        </w:r>
      </w:hyperlink>
      <w:r w:rsidR="00F43AA9">
        <w:rPr>
          <w:rStyle w:val="Hyperlink"/>
          <w:color w:val="auto"/>
          <w:u w:val="none"/>
        </w:rPr>
        <w:t xml:space="preserve"> </w:t>
      </w:r>
      <w:r w:rsidR="004C6A34">
        <w:rPr>
          <w:rStyle w:val="Hyperlink"/>
          <w:color w:val="auto"/>
          <w:u w:val="none"/>
        </w:rPr>
        <w:t xml:space="preserve">(KBA0010751) </w:t>
      </w:r>
      <w:r w:rsidR="00F43AA9">
        <w:rPr>
          <w:rStyle w:val="Hyperlink"/>
          <w:color w:val="auto"/>
          <w:u w:val="none"/>
        </w:rPr>
        <w:t>(</w:t>
      </w:r>
      <w:r w:rsidR="00CF4248" w:rsidRPr="003934B3">
        <w:rPr>
          <w:rStyle w:val="Hyperlink"/>
          <w:color w:val="auto"/>
          <w:u w:val="none"/>
        </w:rPr>
        <w:t>D</w:t>
      </w:r>
      <w:r w:rsidR="00CF4248">
        <w:rPr>
          <w:rStyle w:val="Hyperlink"/>
          <w:color w:val="auto"/>
          <w:u w:val="none"/>
        </w:rPr>
        <w:t>oE</w:t>
      </w:r>
      <w:r w:rsidR="00CF4248" w:rsidRPr="003934B3">
        <w:rPr>
          <w:rStyle w:val="Hyperlink"/>
          <w:color w:val="auto"/>
          <w:u w:val="none"/>
        </w:rPr>
        <w:t xml:space="preserve"> </w:t>
      </w:r>
      <w:r w:rsidR="00F43AA9" w:rsidRPr="003934B3">
        <w:rPr>
          <w:rStyle w:val="Hyperlink"/>
          <w:color w:val="auto"/>
          <w:u w:val="none"/>
        </w:rPr>
        <w:t>employees only)</w:t>
      </w:r>
      <w:r w:rsidRPr="003934B3">
        <w:t>.</w:t>
      </w:r>
    </w:p>
    <w:p w14:paraId="18FBFFA1" w14:textId="3E6B0B12" w:rsidR="00A13BAF" w:rsidRDefault="00A13BAF" w:rsidP="00A13BAF">
      <w:pPr>
        <w:pStyle w:val="Bullet1"/>
        <w:numPr>
          <w:ilvl w:val="0"/>
          <w:numId w:val="1"/>
        </w:numPr>
        <w:ind w:left="284" w:hanging="284"/>
      </w:pPr>
      <w:r>
        <w:t xml:space="preserve">The department will not take over a personal mobile service or a mobile service from another employer </w:t>
      </w:r>
      <w:r w:rsidR="003C2EF2">
        <w:t xml:space="preserve">(except under exceptional conditions) </w:t>
      </w:r>
      <w:r>
        <w:t>other than a mobile service coming from another Q</w:t>
      </w:r>
      <w:r w:rsidR="00494ABC">
        <w:t>ueensland Government department, where possible.</w:t>
      </w:r>
    </w:p>
    <w:p w14:paraId="168A7BEA" w14:textId="28997894" w:rsidR="00A13BAF" w:rsidRDefault="00A13BAF" w:rsidP="00A13BAF">
      <w:pPr>
        <w:pStyle w:val="Bullet1"/>
        <w:numPr>
          <w:ilvl w:val="0"/>
          <w:numId w:val="1"/>
        </w:numPr>
        <w:ind w:left="284" w:hanging="284"/>
      </w:pPr>
      <w:r>
        <w:t>When leaving the department to take up a position with another Queensland Government department</w:t>
      </w:r>
      <w:r w:rsidR="009C7762">
        <w:t>,</w:t>
      </w:r>
      <w:r>
        <w:t xml:space="preserve"> permission can be sought to retain the mobile device and/or service number through a director, principal or </w:t>
      </w:r>
      <w:r w:rsidR="00D57CA7">
        <w:t>above</w:t>
      </w:r>
      <w:r>
        <w:t xml:space="preserve">. Be aware that the mobile service number belongs to the department and it may not be released. </w:t>
      </w:r>
    </w:p>
    <w:p w14:paraId="59C06ADE" w14:textId="782F7209" w:rsidR="00A13BAF" w:rsidRDefault="00A13BAF" w:rsidP="00A13BAF">
      <w:pPr>
        <w:pStyle w:val="Bullet1"/>
        <w:numPr>
          <w:ilvl w:val="0"/>
          <w:numId w:val="1"/>
        </w:numPr>
        <w:ind w:left="284" w:hanging="284"/>
      </w:pPr>
      <w:r>
        <w:t xml:space="preserve">The department will not release a departmental mobile service to an employee leaving </w:t>
      </w:r>
      <w:r w:rsidR="006C230A">
        <w:t>Queensland Government</w:t>
      </w:r>
      <w:r>
        <w:t xml:space="preserve"> or to their new employer.</w:t>
      </w:r>
    </w:p>
    <w:p w14:paraId="45D09C97" w14:textId="77777777" w:rsidR="00A13BAF" w:rsidRDefault="00A13BAF" w:rsidP="00A13BAF">
      <w:pPr>
        <w:pStyle w:val="BlockText"/>
      </w:pPr>
      <w:r>
        <w:rPr>
          <w:rFonts w:hint="eastAsia"/>
        </w:rPr>
        <w:t xml:space="preserve">The department is obligated by contractual arrangements to use mobile </w:t>
      </w:r>
      <w:r>
        <w:t>services</w:t>
      </w:r>
      <w:r>
        <w:rPr>
          <w:rFonts w:hint="eastAsia"/>
        </w:rPr>
        <w:t xml:space="preserve"> at government rates on a monthly plan. This precludes the use of pre-paid mobiles.</w:t>
      </w:r>
    </w:p>
    <w:p w14:paraId="6F1433CE" w14:textId="77777777" w:rsidR="00D0337E" w:rsidRPr="00A13BAF" w:rsidRDefault="000037BD" w:rsidP="00A13BAF">
      <w:r>
        <w:rPr>
          <w:noProof/>
          <w:lang w:eastAsia="zh-CN"/>
        </w:rPr>
        <mc:AlternateContent>
          <mc:Choice Requires="wps">
            <w:drawing>
              <wp:anchor distT="0" distB="0" distL="114300" distR="114300" simplePos="0" relativeHeight="251660288" behindDoc="0" locked="0" layoutInCell="1" allowOverlap="1" wp14:anchorId="751455B3" wp14:editId="5D51DCD7">
                <wp:simplePos x="0" y="0"/>
                <wp:positionH relativeFrom="margin">
                  <wp:align>right</wp:align>
                </wp:positionH>
                <wp:positionV relativeFrom="paragraph">
                  <wp:posOffset>346098</wp:posOffset>
                </wp:positionV>
                <wp:extent cx="6847205" cy="1582523"/>
                <wp:effectExtent l="0" t="0" r="10795" b="177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582523"/>
                        </a:xfrm>
                        <a:prstGeom prst="rect">
                          <a:avLst/>
                        </a:prstGeom>
                        <a:solidFill>
                          <a:srgbClr val="FFFFFF"/>
                        </a:solidFill>
                        <a:ln w="9525">
                          <a:solidFill>
                            <a:srgbClr val="FFFFFF"/>
                          </a:solidFill>
                          <a:miter lim="800000"/>
                          <a:headEnd/>
                          <a:tailEnd/>
                        </a:ln>
                      </wps:spPr>
                      <wps:txbx>
                        <w:txbxContent>
                          <w:p w14:paraId="44691F61" w14:textId="77777777" w:rsidR="00A13BAF" w:rsidRPr="00B801A2" w:rsidRDefault="00A13BAF" w:rsidP="00A13BAF">
                            <w:pPr>
                              <w:rPr>
                                <w:b/>
                                <w:sz w:val="18"/>
                                <w:szCs w:val="18"/>
                              </w:rPr>
                            </w:pPr>
                            <w:r w:rsidRPr="00B801A2">
                              <w:rPr>
                                <w:b/>
                                <w:sz w:val="18"/>
                                <w:szCs w:val="18"/>
                              </w:rPr>
                              <w:t>Security and licence</w:t>
                            </w:r>
                          </w:p>
                          <w:p w14:paraId="0FE5954C" w14:textId="77777777" w:rsidR="00A13BAF" w:rsidRPr="00B801A2" w:rsidRDefault="00A13BAF" w:rsidP="00A13BAF">
                            <w:pPr>
                              <w:spacing w:before="60" w:after="60"/>
                              <w:rPr>
                                <w:rFonts w:cs="Arial"/>
                                <w:sz w:val="18"/>
                                <w:szCs w:val="18"/>
                              </w:rPr>
                            </w:pPr>
                            <w:r w:rsidRPr="00B801A2">
                              <w:rPr>
                                <w:rFonts w:cs="Arial"/>
                                <w:sz w:val="18"/>
                                <w:szCs w:val="18"/>
                              </w:rPr>
                              <w:t>This document has an information security classification of public.</w:t>
                            </w:r>
                          </w:p>
                          <w:p w14:paraId="759D3BE7" w14:textId="242D2AFA" w:rsidR="00A13BAF" w:rsidRPr="00B801A2" w:rsidRDefault="00A13BAF" w:rsidP="00A13BAF">
                            <w:pPr>
                              <w:spacing w:before="60" w:after="60"/>
                              <w:rPr>
                                <w:rFonts w:cs="Arial"/>
                                <w:sz w:val="18"/>
                                <w:szCs w:val="18"/>
                              </w:rPr>
                            </w:pPr>
                            <w:r w:rsidRPr="00B801A2">
                              <w:rPr>
                                <w:rFonts w:cs="Arial"/>
                                <w:sz w:val="18"/>
                                <w:szCs w:val="18"/>
                              </w:rPr>
                              <w:t xml:space="preserve">© The State of Queensland (Department of Education) </w:t>
                            </w:r>
                            <w:r w:rsidR="00121B95" w:rsidRPr="00B801A2">
                              <w:rPr>
                                <w:rFonts w:cs="Arial"/>
                                <w:sz w:val="18"/>
                                <w:szCs w:val="18"/>
                              </w:rPr>
                              <w:t>20</w:t>
                            </w:r>
                            <w:r w:rsidR="00D93204">
                              <w:rPr>
                                <w:rFonts w:cs="Arial"/>
                                <w:sz w:val="18"/>
                                <w:szCs w:val="18"/>
                              </w:rPr>
                              <w:t>20</w:t>
                            </w:r>
                          </w:p>
                          <w:p w14:paraId="2C100F12" w14:textId="2F7F9FD6" w:rsidR="00A13BAF" w:rsidRPr="00B801A2" w:rsidRDefault="00A13BAF" w:rsidP="00A13BAF">
                            <w:pPr>
                              <w:spacing w:before="60" w:after="60"/>
                              <w:rPr>
                                <w:sz w:val="18"/>
                                <w:szCs w:val="18"/>
                              </w:rPr>
                            </w:pPr>
                            <w:r w:rsidRPr="00B801A2">
                              <w:rPr>
                                <w:sz w:val="18"/>
                                <w:szCs w:val="18"/>
                              </w:rPr>
                              <w:t xml:space="preserve">Unless otherwise noted below, materials included in this paper are licensed under a Creative Commons Attribution </w:t>
                            </w:r>
                            <w:r w:rsidR="00121B95">
                              <w:rPr>
                                <w:sz w:val="18"/>
                                <w:szCs w:val="18"/>
                              </w:rPr>
                              <w:t>4</w:t>
                            </w:r>
                            <w:r w:rsidRPr="00B801A2">
                              <w:rPr>
                                <w:sz w:val="18"/>
                                <w:szCs w:val="18"/>
                              </w:rPr>
                              <w:t xml:space="preserve">.0 licence. To view a copy of this licence, visit </w:t>
                            </w:r>
                            <w:hyperlink r:id="rId22" w:history="1">
                              <w:r w:rsidR="000B0A57" w:rsidRPr="002C3BCD">
                                <w:rPr>
                                  <w:rStyle w:val="Hyperlink"/>
                                  <w:sz w:val="18"/>
                                  <w:szCs w:val="18"/>
                                </w:rPr>
                                <w:t>https://creativecommons.org/licenses/by/4.0/</w:t>
                              </w:r>
                            </w:hyperlink>
                            <w:r w:rsidR="00EE27F9" w:rsidRPr="00B801A2">
                              <w:rPr>
                                <w:rFonts w:cs="Arial"/>
                                <w:sz w:val="18"/>
                                <w:szCs w:val="18"/>
                              </w:rPr>
                              <w:t>.</w:t>
                            </w:r>
                          </w:p>
                          <w:p w14:paraId="7F1EECA4" w14:textId="77777777" w:rsidR="00A13BAF" w:rsidRDefault="00A13BAF" w:rsidP="00A13BAF">
                            <w:pPr>
                              <w:rPr>
                                <w:rFonts w:cs="Arial"/>
                                <w:sz w:val="18"/>
                                <w:szCs w:val="18"/>
                              </w:rPr>
                            </w:pPr>
                            <w:r>
                              <w:rPr>
                                <w:rFonts w:cs="Arial"/>
                                <w:noProof/>
                                <w:sz w:val="18"/>
                                <w:szCs w:val="18"/>
                                <w:lang w:eastAsia="zh-CN"/>
                              </w:rPr>
                              <w:drawing>
                                <wp:inline distT="0" distB="0" distL="0" distR="0" wp14:anchorId="1CF081A5" wp14:editId="51AA4732">
                                  <wp:extent cx="841375" cy="299720"/>
                                  <wp:effectExtent l="0" t="0" r="0" b="5080"/>
                                  <wp:docPr id="6" name="Picture 6" descr="CC-BY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Y lic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1375" cy="299720"/>
                                          </a:xfrm>
                                          <a:prstGeom prst="rect">
                                            <a:avLst/>
                                          </a:prstGeom>
                                          <a:noFill/>
                                          <a:ln>
                                            <a:noFill/>
                                          </a:ln>
                                        </pic:spPr>
                                      </pic:pic>
                                    </a:graphicData>
                                  </a:graphic>
                                </wp:inline>
                              </w:drawing>
                            </w:r>
                          </w:p>
                          <w:p w14:paraId="60695E3D" w14:textId="5AE95A2A" w:rsidR="00F632C4" w:rsidRPr="00B801A2" w:rsidRDefault="00F632C4" w:rsidP="00016B4F">
                            <w:pPr>
                              <w:spacing w:before="120"/>
                              <w:rPr>
                                <w:rFonts w:cs="Arial"/>
                                <w:sz w:val="18"/>
                                <w:szCs w:val="18"/>
                              </w:rPr>
                            </w:pPr>
                            <w:r w:rsidRPr="00EE27F9">
                              <w:rPr>
                                <w:rFonts w:cs="Arial"/>
                                <w:sz w:val="18"/>
                                <w:szCs w:val="18"/>
                              </w:rPr>
                              <w:t xml:space="preserve">Last updated </w:t>
                            </w:r>
                            <w:r w:rsidR="00EE27F9" w:rsidRPr="00EE27F9">
                              <w:rPr>
                                <w:rFonts w:cs="Arial"/>
                                <w:sz w:val="18"/>
                                <w:szCs w:val="18"/>
                              </w:rPr>
                              <w:t xml:space="preserve">13 May </w:t>
                            </w:r>
                            <w:r w:rsidR="00216B5C" w:rsidRPr="00EE27F9">
                              <w:rPr>
                                <w:rFonts w:cs="Arial"/>
                                <w:sz w:val="18"/>
                                <w:szCs w:val="18"/>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455B3" id="_x0000_t202" coordsize="21600,21600" o:spt="202" path="m,l,21600r21600,l21600,xe">
                <v:stroke joinstyle="miter"/>
                <v:path gradientshapeok="t" o:connecttype="rect"/>
              </v:shapetype>
              <v:shape id="Text Box 6" o:spid="_x0000_s1026" type="#_x0000_t202" style="position:absolute;margin-left:487.95pt;margin-top:27.25pt;width:539.15pt;height:124.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" strokecolor="white">
                <v:textbox>
                  <w:txbxContent>
                    <w:p w14:paraId="44691F61" w14:textId="77777777" w:rsidR="00A13BAF" w:rsidRPr="00B801A2" w:rsidRDefault="00A13BAF" w:rsidP="00A13BAF">
                      <w:pPr>
                        <w:rPr>
                          <w:b/>
                          <w:sz w:val="18"/>
                          <w:szCs w:val="18"/>
                        </w:rPr>
                      </w:pPr>
                      <w:r w:rsidRPr="00B801A2">
                        <w:rPr>
                          <w:b/>
                          <w:sz w:val="18"/>
                          <w:szCs w:val="18"/>
                        </w:rPr>
                        <w:t>Security and licence</w:t>
                      </w:r>
                    </w:p>
                    <w:p w14:paraId="0FE5954C" w14:textId="77777777" w:rsidR="00A13BAF" w:rsidRPr="00B801A2" w:rsidRDefault="00A13BAF" w:rsidP="00A13BAF">
                      <w:pPr>
                        <w:spacing w:before="60" w:after="60"/>
                        <w:rPr>
                          <w:rFonts w:cs="Arial"/>
                          <w:sz w:val="18"/>
                          <w:szCs w:val="18"/>
                        </w:rPr>
                      </w:pPr>
                      <w:r w:rsidRPr="00B801A2">
                        <w:rPr>
                          <w:rFonts w:cs="Arial"/>
                          <w:sz w:val="18"/>
                          <w:szCs w:val="18"/>
                        </w:rPr>
                        <w:t>This document has an information security classification of public.</w:t>
                      </w:r>
                    </w:p>
                    <w:p w14:paraId="759D3BE7" w14:textId="242D2AFA" w:rsidR="00A13BAF" w:rsidRPr="00B801A2" w:rsidRDefault="00A13BAF" w:rsidP="00A13BAF">
                      <w:pPr>
                        <w:spacing w:before="60" w:after="60"/>
                        <w:rPr>
                          <w:rFonts w:cs="Arial"/>
                          <w:sz w:val="18"/>
                          <w:szCs w:val="18"/>
                        </w:rPr>
                      </w:pPr>
                      <w:r w:rsidRPr="00B801A2">
                        <w:rPr>
                          <w:rFonts w:cs="Arial"/>
                          <w:sz w:val="18"/>
                          <w:szCs w:val="18"/>
                        </w:rPr>
                        <w:t xml:space="preserve">© The State of Queensland (Department of Education) </w:t>
                      </w:r>
                      <w:r w:rsidR="00121B95" w:rsidRPr="00B801A2">
                        <w:rPr>
                          <w:rFonts w:cs="Arial"/>
                          <w:sz w:val="18"/>
                          <w:szCs w:val="18"/>
                        </w:rPr>
                        <w:t>20</w:t>
                      </w:r>
                      <w:r w:rsidR="00D93204">
                        <w:rPr>
                          <w:rFonts w:cs="Arial"/>
                          <w:sz w:val="18"/>
                          <w:szCs w:val="18"/>
                        </w:rPr>
                        <w:t>20</w:t>
                      </w:r>
                    </w:p>
                    <w:p w14:paraId="2C100F12" w14:textId="2F7F9FD6" w:rsidR="00A13BAF" w:rsidRPr="00B801A2" w:rsidRDefault="00A13BAF" w:rsidP="00A13BAF">
                      <w:pPr>
                        <w:spacing w:before="60" w:after="60"/>
                        <w:rPr>
                          <w:sz w:val="18"/>
                          <w:szCs w:val="18"/>
                        </w:rPr>
                      </w:pPr>
                      <w:r w:rsidRPr="00B801A2">
                        <w:rPr>
                          <w:sz w:val="18"/>
                          <w:szCs w:val="18"/>
                        </w:rPr>
                        <w:t xml:space="preserve">Unless otherwise noted below, materials included in this paper are licensed under a Creative Commons Attribution </w:t>
                      </w:r>
                      <w:r w:rsidR="00121B95">
                        <w:rPr>
                          <w:sz w:val="18"/>
                          <w:szCs w:val="18"/>
                        </w:rPr>
                        <w:t>4</w:t>
                      </w:r>
                      <w:r w:rsidRPr="00B801A2">
                        <w:rPr>
                          <w:sz w:val="18"/>
                          <w:szCs w:val="18"/>
                        </w:rPr>
                        <w:t xml:space="preserve">.0 licence. To view a copy of this licence, visit </w:t>
                      </w:r>
                      <w:hyperlink r:id="rId24" w:history="1">
                        <w:r w:rsidR="000B0A57" w:rsidRPr="002C3BCD">
                          <w:rPr>
                            <w:rStyle w:val="Hyperlink"/>
                            <w:sz w:val="18"/>
                            <w:szCs w:val="18"/>
                          </w:rPr>
                          <w:t>https://creativecommons.org/licenses/by/4.0/</w:t>
                        </w:r>
                      </w:hyperlink>
                      <w:r w:rsidR="00EE27F9" w:rsidRPr="00B801A2">
                        <w:rPr>
                          <w:rFonts w:cs="Arial"/>
                          <w:sz w:val="18"/>
                          <w:szCs w:val="18"/>
                        </w:rPr>
                        <w:t>.</w:t>
                      </w:r>
                    </w:p>
                    <w:p w14:paraId="7F1EECA4" w14:textId="77777777" w:rsidR="00A13BAF" w:rsidRDefault="00A13BAF" w:rsidP="00A13BAF">
                      <w:pPr>
                        <w:rPr>
                          <w:rFonts w:cs="Arial"/>
                          <w:sz w:val="18"/>
                          <w:szCs w:val="18"/>
                        </w:rPr>
                      </w:pPr>
                      <w:r>
                        <w:rPr>
                          <w:rFonts w:cs="Arial"/>
                          <w:noProof/>
                          <w:sz w:val="18"/>
                          <w:szCs w:val="18"/>
                          <w:lang w:eastAsia="zh-CN"/>
                        </w:rPr>
                        <w:drawing>
                          <wp:inline distT="0" distB="0" distL="0" distR="0" wp14:anchorId="1CF081A5" wp14:editId="51AA4732">
                            <wp:extent cx="841375" cy="299720"/>
                            <wp:effectExtent l="0" t="0" r="0" b="5080"/>
                            <wp:docPr id="6" name="Picture 6" descr="CC-BY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Y lic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1375" cy="299720"/>
                                    </a:xfrm>
                                    <a:prstGeom prst="rect">
                                      <a:avLst/>
                                    </a:prstGeom>
                                    <a:noFill/>
                                    <a:ln>
                                      <a:noFill/>
                                    </a:ln>
                                  </pic:spPr>
                                </pic:pic>
                              </a:graphicData>
                            </a:graphic>
                          </wp:inline>
                        </w:drawing>
                      </w:r>
                    </w:p>
                    <w:p w14:paraId="60695E3D" w14:textId="5AE95A2A" w:rsidR="00F632C4" w:rsidRPr="00B801A2" w:rsidRDefault="00F632C4" w:rsidP="00016B4F">
                      <w:pPr>
                        <w:spacing w:before="120"/>
                        <w:rPr>
                          <w:rFonts w:cs="Arial"/>
                          <w:sz w:val="18"/>
                          <w:szCs w:val="18"/>
                        </w:rPr>
                      </w:pPr>
                      <w:r w:rsidRPr="00EE27F9">
                        <w:rPr>
                          <w:rFonts w:cs="Arial"/>
                          <w:sz w:val="18"/>
                          <w:szCs w:val="18"/>
                        </w:rPr>
                        <w:t xml:space="preserve">Last updated </w:t>
                      </w:r>
                      <w:r w:rsidR="00EE27F9" w:rsidRPr="00EE27F9">
                        <w:rPr>
                          <w:rFonts w:cs="Arial"/>
                          <w:sz w:val="18"/>
                          <w:szCs w:val="18"/>
                        </w:rPr>
                        <w:t xml:space="preserve">13 May </w:t>
                      </w:r>
                      <w:r w:rsidR="00216B5C" w:rsidRPr="00EE27F9">
                        <w:rPr>
                          <w:rFonts w:cs="Arial"/>
                          <w:sz w:val="18"/>
                          <w:szCs w:val="18"/>
                        </w:rPr>
                        <w:t>2020</w:t>
                      </w:r>
                    </w:p>
                  </w:txbxContent>
                </v:textbox>
                <w10:wrap anchorx="margin"/>
              </v:shape>
            </w:pict>
          </mc:Fallback>
        </mc:AlternateContent>
      </w:r>
    </w:p>
    <w:sectPr w:rsidR="00D0337E" w:rsidRPr="00A13BAF" w:rsidSect="004D3819">
      <w:headerReference w:type="default" r:id="rId25"/>
      <w:footerReference w:type="default" r:id="rId26"/>
      <w:headerReference w:type="first" r:id="rId27"/>
      <w:footerReference w:type="first" r:id="rId28"/>
      <w:pgSz w:w="11906" w:h="16838" w:code="9"/>
      <w:pgMar w:top="1134" w:right="567" w:bottom="1276" w:left="567" w:header="709" w:footer="5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1C790" w14:textId="77777777" w:rsidR="004547DD" w:rsidRDefault="004547DD">
      <w:r>
        <w:separator/>
      </w:r>
    </w:p>
  </w:endnote>
  <w:endnote w:type="continuationSeparator" w:id="0">
    <w:p w14:paraId="21191915" w14:textId="77777777" w:rsidR="004547DD" w:rsidRDefault="0045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B5B5" w14:textId="6E3E55B5" w:rsidR="004D3819" w:rsidRDefault="004D3819" w:rsidP="006D7771">
    <w:pPr>
      <w:pStyle w:val="ListParagraph"/>
      <w:tabs>
        <w:tab w:val="right" w:pos="10765"/>
      </w:tabs>
      <w:spacing w:after="0"/>
      <w:ind w:left="0"/>
      <w:rPr>
        <w:rFonts w:ascii="Arial" w:hAnsi="Arial" w:cs="Arial"/>
        <w:b/>
        <w:sz w:val="17"/>
        <w:szCs w:val="17"/>
      </w:rPr>
    </w:pPr>
  </w:p>
  <w:p w14:paraId="731DAD5A" w14:textId="4001287E" w:rsidR="004D3819" w:rsidRDefault="004D3819" w:rsidP="006D7771">
    <w:pPr>
      <w:pStyle w:val="ListParagraph"/>
      <w:tabs>
        <w:tab w:val="right" w:pos="10765"/>
      </w:tabs>
      <w:spacing w:after="0"/>
      <w:ind w:left="0"/>
      <w:rPr>
        <w:rFonts w:ascii="Arial" w:hAnsi="Arial" w:cs="Arial"/>
        <w:b/>
        <w:sz w:val="17"/>
        <w:szCs w:val="17"/>
      </w:rPr>
    </w:pPr>
    <w:r>
      <w:rPr>
        <w:rFonts w:ascii="Arial" w:hAnsi="Arial" w:cs="Arial"/>
        <w:bCs/>
        <w:noProof/>
        <w:sz w:val="18"/>
        <w:szCs w:val="18"/>
      </w:rPr>
      <w:drawing>
        <wp:anchor distT="0" distB="0" distL="114300" distR="114300" simplePos="0" relativeHeight="251662336" behindDoc="1" locked="0" layoutInCell="1" allowOverlap="1" wp14:anchorId="066857F7" wp14:editId="2AFF57AE">
          <wp:simplePos x="0" y="0"/>
          <wp:positionH relativeFrom="page">
            <wp:posOffset>17145</wp:posOffset>
          </wp:positionH>
          <wp:positionV relativeFrom="paragraph">
            <wp:posOffset>151130</wp:posOffset>
          </wp:positionV>
          <wp:extent cx="7571740" cy="112395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123950"/>
                  </a:xfrm>
                  <a:prstGeom prst="rect">
                    <a:avLst/>
                  </a:prstGeom>
                  <a:noFill/>
                </pic:spPr>
              </pic:pic>
            </a:graphicData>
          </a:graphic>
          <wp14:sizeRelH relativeFrom="page">
            <wp14:pctWidth>0</wp14:pctWidth>
          </wp14:sizeRelH>
          <wp14:sizeRelV relativeFrom="page">
            <wp14:pctHeight>0</wp14:pctHeight>
          </wp14:sizeRelV>
        </wp:anchor>
      </w:drawing>
    </w:r>
  </w:p>
  <w:p w14:paraId="78BF1C81" w14:textId="3C008E0D" w:rsidR="001A1EB7" w:rsidRPr="00921A3B" w:rsidRDefault="00C15648" w:rsidP="006D7771">
    <w:pPr>
      <w:pStyle w:val="ListParagraph"/>
      <w:tabs>
        <w:tab w:val="right" w:pos="10765"/>
      </w:tabs>
      <w:spacing w:after="0"/>
      <w:ind w:left="0"/>
      <w:rPr>
        <w:rFonts w:ascii="Arial" w:hAnsi="Arial" w:cs="Arial"/>
        <w:sz w:val="17"/>
        <w:szCs w:val="17"/>
      </w:rPr>
    </w:pPr>
    <w:r w:rsidRPr="00921A3B">
      <w:rPr>
        <w:rFonts w:ascii="Arial" w:hAnsi="Arial" w:cs="Arial"/>
        <w:b/>
        <w:sz w:val="17"/>
        <w:szCs w:val="17"/>
      </w:rPr>
      <w:t>Uncontrolled copy.</w:t>
    </w:r>
    <w:r w:rsidRPr="00921A3B">
      <w:rPr>
        <w:rFonts w:ascii="Arial" w:hAnsi="Arial" w:cs="Arial"/>
        <w:sz w:val="17"/>
        <w:szCs w:val="17"/>
      </w:rPr>
      <w:t xml:space="preserve"> Refer to the Department of Education</w:t>
    </w:r>
    <w:r w:rsidR="00F632C4" w:rsidRPr="00921A3B">
      <w:rPr>
        <w:rFonts w:ascii="Arial" w:hAnsi="Arial" w:cs="Arial"/>
        <w:sz w:val="17"/>
        <w:szCs w:val="17"/>
      </w:rPr>
      <w:t>’s</w:t>
    </w:r>
    <w:r w:rsidRPr="00921A3B">
      <w:rPr>
        <w:rFonts w:ascii="Arial" w:hAnsi="Arial" w:cs="Arial"/>
        <w:sz w:val="17"/>
        <w:szCs w:val="17"/>
      </w:rPr>
      <w:t xml:space="preserve"> Policy and Procedure Register at </w:t>
    </w:r>
  </w:p>
  <w:p w14:paraId="28D73681" w14:textId="2C5ADAA0" w:rsidR="004D3819" w:rsidRDefault="004D3819" w:rsidP="006D7771">
    <w:pPr>
      <w:pStyle w:val="ListParagraph"/>
      <w:tabs>
        <w:tab w:val="right" w:pos="10765"/>
      </w:tabs>
      <w:spacing w:after="0"/>
      <w:ind w:left="0"/>
      <w:rPr>
        <w:rFonts w:ascii="Arial" w:hAnsi="Arial" w:cs="Arial"/>
        <w:sz w:val="17"/>
        <w:szCs w:val="17"/>
      </w:rPr>
    </w:pPr>
    <w:hyperlink r:id="rId2" w:history="1">
      <w:r w:rsidRPr="002F5A24">
        <w:rPr>
          <w:rStyle w:val="Hyperlink"/>
          <w:rFonts w:ascii="Arial" w:hAnsi="Arial" w:cs="Arial"/>
          <w:sz w:val="17"/>
          <w:szCs w:val="17"/>
        </w:rPr>
        <w:t>https://ppr.qed.qld.gov.au/pp/use-of-mobile-devices-procedure</w:t>
      </w:r>
    </w:hyperlink>
    <w:r>
      <w:rPr>
        <w:rFonts w:ascii="Arial" w:hAnsi="Arial" w:cs="Arial"/>
        <w:sz w:val="17"/>
        <w:szCs w:val="17"/>
      </w:rPr>
      <w:t xml:space="preserve"> </w:t>
    </w:r>
    <w:r w:rsidR="00C15648" w:rsidRPr="00921A3B">
      <w:rPr>
        <w:rFonts w:ascii="Arial" w:hAnsi="Arial" w:cs="Arial"/>
        <w:sz w:val="17"/>
        <w:szCs w:val="17"/>
      </w:rPr>
      <w:t xml:space="preserve">to ensure you have the most </w:t>
    </w:r>
  </w:p>
  <w:p w14:paraId="08A0DCF7" w14:textId="77777777" w:rsidR="004D3819" w:rsidRDefault="00C15648" w:rsidP="006D7771">
    <w:pPr>
      <w:pStyle w:val="ListParagraph"/>
      <w:tabs>
        <w:tab w:val="right" w:pos="10765"/>
      </w:tabs>
      <w:spacing w:after="0"/>
      <w:ind w:left="0"/>
      <w:rPr>
        <w:rFonts w:ascii="Arial" w:hAnsi="Arial" w:cs="Arial"/>
        <w:sz w:val="18"/>
        <w:szCs w:val="18"/>
      </w:rPr>
    </w:pPr>
    <w:proofErr w:type="gramStart"/>
    <w:r w:rsidRPr="00921A3B">
      <w:rPr>
        <w:rFonts w:ascii="Arial" w:hAnsi="Arial" w:cs="Arial"/>
        <w:sz w:val="17"/>
        <w:szCs w:val="17"/>
      </w:rPr>
      <w:t>current</w:t>
    </w:r>
    <w:proofErr w:type="gramEnd"/>
    <w:r w:rsidRPr="00921A3B">
      <w:rPr>
        <w:rFonts w:ascii="Arial" w:hAnsi="Arial" w:cs="Arial"/>
        <w:sz w:val="17"/>
        <w:szCs w:val="17"/>
      </w:rPr>
      <w:t xml:space="preserve"> version of this document</w:t>
    </w:r>
    <w:r w:rsidRPr="001A1EB7">
      <w:rPr>
        <w:rFonts w:ascii="Arial" w:hAnsi="Arial" w:cs="Arial"/>
        <w:sz w:val="18"/>
        <w:szCs w:val="18"/>
      </w:rPr>
      <w:t>.</w:t>
    </w:r>
    <w:r w:rsidR="00CF7AFA">
      <w:rPr>
        <w:rFonts w:ascii="Arial" w:hAnsi="Arial" w:cs="Arial"/>
        <w:sz w:val="18"/>
        <w:szCs w:val="18"/>
      </w:rPr>
      <w:t xml:space="preserve"> </w:t>
    </w:r>
    <w:r w:rsidR="001A1EB7">
      <w:rPr>
        <w:rFonts w:ascii="Arial" w:hAnsi="Arial" w:cs="Arial"/>
        <w:sz w:val="18"/>
        <w:szCs w:val="18"/>
      </w:rPr>
      <w:t xml:space="preserve">                              </w:t>
    </w:r>
  </w:p>
  <w:p w14:paraId="56B57932" w14:textId="070B8713" w:rsidR="00C15648" w:rsidRPr="004D3819" w:rsidRDefault="001A1EB7" w:rsidP="006D7771">
    <w:pPr>
      <w:pStyle w:val="ListParagraph"/>
      <w:tabs>
        <w:tab w:val="right" w:pos="10765"/>
      </w:tabs>
      <w:spacing w:after="0"/>
      <w:ind w:left="0"/>
      <w:rPr>
        <w:rFonts w:ascii="Arial" w:hAnsi="Arial" w:cs="Arial"/>
        <w:bCs/>
        <w:sz w:val="17"/>
        <w:szCs w:val="17"/>
      </w:rPr>
    </w:pPr>
    <w:r w:rsidRPr="004D3819">
      <w:rPr>
        <w:rFonts w:ascii="Arial" w:hAnsi="Arial" w:cs="Arial"/>
        <w:sz w:val="17"/>
        <w:szCs w:val="17"/>
      </w:rPr>
      <w:t xml:space="preserve"> </w:t>
    </w:r>
    <w:r w:rsidR="00C15648" w:rsidRPr="004D3819">
      <w:rPr>
        <w:rFonts w:ascii="Arial" w:hAnsi="Arial" w:cs="Arial"/>
        <w:sz w:val="17"/>
        <w:szCs w:val="17"/>
      </w:rPr>
      <w:t xml:space="preserve">Page </w:t>
    </w:r>
    <w:r w:rsidR="00C15648" w:rsidRPr="004D3819">
      <w:rPr>
        <w:rFonts w:ascii="Arial" w:hAnsi="Arial" w:cs="Arial"/>
        <w:bCs/>
        <w:sz w:val="17"/>
        <w:szCs w:val="17"/>
      </w:rPr>
      <w:fldChar w:fldCharType="begin"/>
    </w:r>
    <w:r w:rsidR="00C15648" w:rsidRPr="004D3819">
      <w:rPr>
        <w:rFonts w:ascii="Arial" w:hAnsi="Arial" w:cs="Arial"/>
        <w:bCs/>
        <w:sz w:val="17"/>
        <w:szCs w:val="17"/>
      </w:rPr>
      <w:instrText xml:space="preserve"> PAGE </w:instrText>
    </w:r>
    <w:r w:rsidR="00C15648" w:rsidRPr="004D3819">
      <w:rPr>
        <w:rFonts w:ascii="Arial" w:hAnsi="Arial" w:cs="Arial"/>
        <w:bCs/>
        <w:sz w:val="17"/>
        <w:szCs w:val="17"/>
      </w:rPr>
      <w:fldChar w:fldCharType="separate"/>
    </w:r>
    <w:r w:rsidR="004D3819">
      <w:rPr>
        <w:rFonts w:ascii="Arial" w:hAnsi="Arial" w:cs="Arial"/>
        <w:bCs/>
        <w:noProof/>
        <w:sz w:val="17"/>
        <w:szCs w:val="17"/>
      </w:rPr>
      <w:t>2</w:t>
    </w:r>
    <w:r w:rsidR="00C15648" w:rsidRPr="004D3819">
      <w:rPr>
        <w:rFonts w:ascii="Arial" w:hAnsi="Arial" w:cs="Arial"/>
        <w:bCs/>
        <w:sz w:val="17"/>
        <w:szCs w:val="17"/>
      </w:rPr>
      <w:fldChar w:fldCharType="end"/>
    </w:r>
    <w:r w:rsidR="00C15648" w:rsidRPr="004D3819">
      <w:rPr>
        <w:rFonts w:ascii="Arial" w:hAnsi="Arial" w:cs="Arial"/>
        <w:sz w:val="17"/>
        <w:szCs w:val="17"/>
      </w:rPr>
      <w:t xml:space="preserve"> of </w:t>
    </w:r>
    <w:r w:rsidR="00C15648" w:rsidRPr="004D3819">
      <w:rPr>
        <w:rFonts w:ascii="Arial" w:hAnsi="Arial" w:cs="Arial"/>
        <w:bCs/>
        <w:sz w:val="17"/>
        <w:szCs w:val="17"/>
      </w:rPr>
      <w:fldChar w:fldCharType="begin"/>
    </w:r>
    <w:r w:rsidR="00C15648" w:rsidRPr="004D3819">
      <w:rPr>
        <w:rFonts w:ascii="Arial" w:hAnsi="Arial" w:cs="Arial"/>
        <w:bCs/>
        <w:sz w:val="17"/>
        <w:szCs w:val="17"/>
      </w:rPr>
      <w:instrText xml:space="preserve"> NUMPAGES  </w:instrText>
    </w:r>
    <w:r w:rsidR="00C15648" w:rsidRPr="004D3819">
      <w:rPr>
        <w:rFonts w:ascii="Arial" w:hAnsi="Arial" w:cs="Arial"/>
        <w:bCs/>
        <w:sz w:val="17"/>
        <w:szCs w:val="17"/>
      </w:rPr>
      <w:fldChar w:fldCharType="separate"/>
    </w:r>
    <w:r w:rsidR="004D3819">
      <w:rPr>
        <w:rFonts w:ascii="Arial" w:hAnsi="Arial" w:cs="Arial"/>
        <w:bCs/>
        <w:noProof/>
        <w:sz w:val="17"/>
        <w:szCs w:val="17"/>
      </w:rPr>
      <w:t>2</w:t>
    </w:r>
    <w:r w:rsidR="00C15648" w:rsidRPr="004D3819">
      <w:rPr>
        <w:rFonts w:ascii="Arial" w:hAnsi="Arial" w:cs="Arial"/>
        <w:bCs/>
        <w:sz w:val="17"/>
        <w:szCs w:val="17"/>
      </w:rPr>
      <w:fldChar w:fldCharType="end"/>
    </w:r>
  </w:p>
  <w:p w14:paraId="0AF76895" w14:textId="77777777" w:rsidR="00BE05DF" w:rsidRPr="006D7771" w:rsidRDefault="00BE05DF" w:rsidP="006D7771">
    <w:pPr>
      <w:pStyle w:val="ListParagraph"/>
      <w:tabs>
        <w:tab w:val="right" w:pos="10765"/>
      </w:tabs>
      <w:spacing w:after="0"/>
      <w:ind w:left="0"/>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2B4E" w14:textId="77777777" w:rsidR="00C15648" w:rsidRPr="00253958" w:rsidRDefault="001A1EB7" w:rsidP="00253958">
    <w:pPr>
      <w:pStyle w:val="ListParagraph"/>
      <w:tabs>
        <w:tab w:val="right" w:pos="10773"/>
      </w:tabs>
      <w:spacing w:after="0"/>
      <w:ind w:left="0"/>
      <w:rPr>
        <w:rFonts w:ascii="Arial" w:hAnsi="Arial" w:cs="Arial"/>
        <w:b/>
        <w:sz w:val="18"/>
        <w:szCs w:val="18"/>
      </w:rPr>
    </w:pPr>
    <w:r>
      <w:rPr>
        <w:rFonts w:ascii="Arial" w:hAnsi="Arial" w:cs="Arial"/>
        <w:bCs/>
        <w:noProof/>
        <w:sz w:val="18"/>
        <w:szCs w:val="18"/>
      </w:rPr>
      <w:drawing>
        <wp:anchor distT="0" distB="0" distL="114300" distR="114300" simplePos="0" relativeHeight="251657216" behindDoc="1" locked="0" layoutInCell="1" allowOverlap="1" wp14:anchorId="42EFA5A3" wp14:editId="420F841D">
          <wp:simplePos x="0" y="0"/>
          <wp:positionH relativeFrom="page">
            <wp:posOffset>-11430</wp:posOffset>
          </wp:positionH>
          <wp:positionV relativeFrom="paragraph">
            <wp:posOffset>144145</wp:posOffset>
          </wp:positionV>
          <wp:extent cx="7571740" cy="112395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123950"/>
                  </a:xfrm>
                  <a:prstGeom prst="rect">
                    <a:avLst/>
                  </a:prstGeom>
                  <a:noFill/>
                </pic:spPr>
              </pic:pic>
            </a:graphicData>
          </a:graphic>
          <wp14:sizeRelH relativeFrom="page">
            <wp14:pctWidth>0</wp14:pctWidth>
          </wp14:sizeRelH>
          <wp14:sizeRelV relativeFrom="page">
            <wp14:pctHeight>0</wp14:pctHeight>
          </wp14:sizeRelV>
        </wp:anchor>
      </w:drawing>
    </w:r>
  </w:p>
  <w:p w14:paraId="4B892881" w14:textId="77777777" w:rsidR="001A1EB7" w:rsidRPr="003570D7" w:rsidRDefault="001A1EB7" w:rsidP="006D7771">
    <w:pPr>
      <w:pStyle w:val="ListParagraph"/>
      <w:tabs>
        <w:tab w:val="right" w:pos="10773"/>
      </w:tabs>
      <w:spacing w:after="0"/>
      <w:ind w:left="0"/>
      <w:rPr>
        <w:rFonts w:ascii="Arial" w:hAnsi="Arial" w:cs="Arial"/>
        <w:sz w:val="17"/>
        <w:szCs w:val="17"/>
      </w:rPr>
    </w:pPr>
    <w:r w:rsidRPr="003570D7">
      <w:rPr>
        <w:rFonts w:ascii="Arial" w:hAnsi="Arial" w:cs="Arial"/>
        <w:b/>
        <w:noProof/>
        <w:sz w:val="17"/>
        <w:szCs w:val="17"/>
      </w:rPr>
      <w:drawing>
        <wp:anchor distT="0" distB="0" distL="114300" distR="114300" simplePos="0" relativeHeight="251656192" behindDoc="1" locked="0" layoutInCell="1" allowOverlap="1" wp14:anchorId="16793E9F" wp14:editId="44642284">
          <wp:simplePos x="0" y="0"/>
          <wp:positionH relativeFrom="column">
            <wp:posOffset>-10795</wp:posOffset>
          </wp:positionH>
          <wp:positionV relativeFrom="paragraph">
            <wp:posOffset>9563100</wp:posOffset>
          </wp:positionV>
          <wp:extent cx="7559040" cy="1117600"/>
          <wp:effectExtent l="0" t="0" r="3810" b="6350"/>
          <wp:wrapNone/>
          <wp:docPr id="74" name="Picture 74"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portrait footer without tag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117600"/>
                  </a:xfrm>
                  <a:prstGeom prst="rect">
                    <a:avLst/>
                  </a:prstGeom>
                  <a:noFill/>
                </pic:spPr>
              </pic:pic>
            </a:graphicData>
          </a:graphic>
          <wp14:sizeRelH relativeFrom="page">
            <wp14:pctWidth>0</wp14:pctWidth>
          </wp14:sizeRelH>
          <wp14:sizeRelV relativeFrom="page">
            <wp14:pctHeight>0</wp14:pctHeight>
          </wp14:sizeRelV>
        </wp:anchor>
      </w:drawing>
    </w:r>
    <w:r w:rsidR="00C15648" w:rsidRPr="003570D7">
      <w:rPr>
        <w:rFonts w:ascii="Arial" w:hAnsi="Arial" w:cs="Arial"/>
        <w:b/>
        <w:sz w:val="17"/>
        <w:szCs w:val="17"/>
      </w:rPr>
      <w:t>Uncontrolled copy.</w:t>
    </w:r>
    <w:r w:rsidR="00C15648" w:rsidRPr="003570D7">
      <w:rPr>
        <w:rFonts w:ascii="Arial" w:hAnsi="Arial" w:cs="Arial"/>
        <w:sz w:val="17"/>
        <w:szCs w:val="17"/>
      </w:rPr>
      <w:t xml:space="preserve"> Refer to the Department of Education</w:t>
    </w:r>
    <w:r w:rsidR="00F632C4" w:rsidRPr="003570D7">
      <w:rPr>
        <w:rFonts w:ascii="Arial" w:hAnsi="Arial" w:cs="Arial"/>
        <w:sz w:val="17"/>
        <w:szCs w:val="17"/>
      </w:rPr>
      <w:t>’s</w:t>
    </w:r>
    <w:r w:rsidR="00BE05DF" w:rsidRPr="003570D7">
      <w:rPr>
        <w:rFonts w:ascii="Arial" w:hAnsi="Arial" w:cs="Arial"/>
        <w:sz w:val="17"/>
        <w:szCs w:val="17"/>
      </w:rPr>
      <w:t xml:space="preserve"> </w:t>
    </w:r>
    <w:r w:rsidR="00C15648" w:rsidRPr="003570D7">
      <w:rPr>
        <w:rFonts w:ascii="Arial" w:hAnsi="Arial" w:cs="Arial"/>
        <w:sz w:val="17"/>
        <w:szCs w:val="17"/>
      </w:rPr>
      <w:t>Policy and Procedure Register at</w:t>
    </w:r>
  </w:p>
  <w:p w14:paraId="628E1CAF" w14:textId="77777777" w:rsidR="004D3819" w:rsidRDefault="004D3819" w:rsidP="006D7771">
    <w:pPr>
      <w:pStyle w:val="ListParagraph"/>
      <w:tabs>
        <w:tab w:val="right" w:pos="10773"/>
      </w:tabs>
      <w:spacing w:after="0"/>
      <w:ind w:left="0"/>
      <w:rPr>
        <w:rFonts w:ascii="Arial" w:hAnsi="Arial" w:cs="Arial"/>
        <w:sz w:val="18"/>
        <w:szCs w:val="18"/>
      </w:rPr>
    </w:pPr>
    <w:hyperlink r:id="rId3" w:history="1">
      <w:r w:rsidRPr="002F5A24">
        <w:rPr>
          <w:rStyle w:val="Hyperlink"/>
          <w:rFonts w:ascii="Arial" w:hAnsi="Arial" w:cs="Arial"/>
          <w:sz w:val="17"/>
          <w:szCs w:val="17"/>
        </w:rPr>
        <w:t>https://ppr.qed.qld.gov.au/pp/use-of-mobile-devices-procedure</w:t>
      </w:r>
    </w:hyperlink>
    <w:r>
      <w:rPr>
        <w:rFonts w:ascii="Arial" w:hAnsi="Arial" w:cs="Arial"/>
        <w:sz w:val="17"/>
        <w:szCs w:val="17"/>
      </w:rPr>
      <w:t xml:space="preserve"> </w:t>
    </w:r>
    <w:r w:rsidR="00C15648" w:rsidRPr="003570D7">
      <w:rPr>
        <w:rFonts w:ascii="Arial" w:hAnsi="Arial" w:cs="Arial"/>
        <w:sz w:val="17"/>
        <w:szCs w:val="17"/>
      </w:rPr>
      <w:t xml:space="preserve">to ensure you have the most </w:t>
    </w:r>
    <w:r>
      <w:rPr>
        <w:rFonts w:ascii="Arial" w:hAnsi="Arial" w:cs="Arial"/>
        <w:sz w:val="17"/>
        <w:szCs w:val="17"/>
      </w:rPr>
      <w:br/>
    </w:r>
    <w:r w:rsidR="00C15648" w:rsidRPr="003570D7">
      <w:rPr>
        <w:rFonts w:ascii="Arial" w:hAnsi="Arial" w:cs="Arial"/>
        <w:sz w:val="17"/>
        <w:szCs w:val="17"/>
      </w:rPr>
      <w:t>current version of this document.</w:t>
    </w:r>
    <w:r w:rsidR="001A1EB7" w:rsidRPr="001A1EB7">
      <w:rPr>
        <w:rFonts w:ascii="Arial" w:hAnsi="Arial" w:cs="Arial"/>
        <w:sz w:val="18"/>
        <w:szCs w:val="18"/>
      </w:rPr>
      <w:t xml:space="preserve">  </w:t>
    </w:r>
    <w:r w:rsidR="001A1EB7">
      <w:rPr>
        <w:rFonts w:ascii="Arial" w:hAnsi="Arial" w:cs="Arial"/>
        <w:sz w:val="18"/>
        <w:szCs w:val="18"/>
      </w:rPr>
      <w:t xml:space="preserve">                              </w:t>
    </w:r>
    <w:r w:rsidR="001A1EB7" w:rsidRPr="001A1EB7">
      <w:rPr>
        <w:rFonts w:ascii="Arial" w:hAnsi="Arial" w:cs="Arial"/>
        <w:sz w:val="18"/>
        <w:szCs w:val="18"/>
      </w:rPr>
      <w:t xml:space="preserve"> </w:t>
    </w:r>
  </w:p>
  <w:p w14:paraId="67E3AD2F" w14:textId="417801FF" w:rsidR="00C15648" w:rsidRPr="004D3819" w:rsidRDefault="00C15648" w:rsidP="006D7771">
    <w:pPr>
      <w:pStyle w:val="ListParagraph"/>
      <w:tabs>
        <w:tab w:val="right" w:pos="10773"/>
      </w:tabs>
      <w:spacing w:after="0"/>
      <w:ind w:left="0"/>
      <w:rPr>
        <w:rFonts w:ascii="Arial" w:hAnsi="Arial" w:cs="Arial"/>
        <w:sz w:val="17"/>
        <w:szCs w:val="17"/>
      </w:rPr>
    </w:pPr>
    <w:r w:rsidRPr="004D3819">
      <w:rPr>
        <w:rFonts w:ascii="Arial" w:hAnsi="Arial" w:cs="Arial"/>
        <w:sz w:val="17"/>
        <w:szCs w:val="17"/>
      </w:rPr>
      <w:t xml:space="preserve">Page </w:t>
    </w:r>
    <w:r w:rsidRPr="004D3819">
      <w:rPr>
        <w:rFonts w:ascii="Arial" w:hAnsi="Arial" w:cs="Arial"/>
        <w:bCs/>
        <w:sz w:val="17"/>
        <w:szCs w:val="17"/>
      </w:rPr>
      <w:fldChar w:fldCharType="begin"/>
    </w:r>
    <w:r w:rsidRPr="004D3819">
      <w:rPr>
        <w:rFonts w:ascii="Arial" w:hAnsi="Arial" w:cs="Arial"/>
        <w:bCs/>
        <w:sz w:val="17"/>
        <w:szCs w:val="17"/>
      </w:rPr>
      <w:instrText xml:space="preserve"> PAGE </w:instrText>
    </w:r>
    <w:r w:rsidRPr="004D3819">
      <w:rPr>
        <w:rFonts w:ascii="Arial" w:hAnsi="Arial" w:cs="Arial"/>
        <w:bCs/>
        <w:sz w:val="17"/>
        <w:szCs w:val="17"/>
      </w:rPr>
      <w:fldChar w:fldCharType="separate"/>
    </w:r>
    <w:r w:rsidR="004D3819">
      <w:rPr>
        <w:rFonts w:ascii="Arial" w:hAnsi="Arial" w:cs="Arial"/>
        <w:bCs/>
        <w:noProof/>
        <w:sz w:val="17"/>
        <w:szCs w:val="17"/>
      </w:rPr>
      <w:t>1</w:t>
    </w:r>
    <w:r w:rsidRPr="004D3819">
      <w:rPr>
        <w:rFonts w:ascii="Arial" w:hAnsi="Arial" w:cs="Arial"/>
        <w:bCs/>
        <w:sz w:val="17"/>
        <w:szCs w:val="17"/>
      </w:rPr>
      <w:fldChar w:fldCharType="end"/>
    </w:r>
    <w:r w:rsidRPr="004D3819">
      <w:rPr>
        <w:rFonts w:ascii="Arial" w:hAnsi="Arial" w:cs="Arial"/>
        <w:sz w:val="17"/>
        <w:szCs w:val="17"/>
      </w:rPr>
      <w:t xml:space="preserve"> of </w:t>
    </w:r>
    <w:r w:rsidRPr="004D3819">
      <w:rPr>
        <w:rFonts w:ascii="Arial" w:hAnsi="Arial" w:cs="Arial"/>
        <w:bCs/>
        <w:sz w:val="17"/>
        <w:szCs w:val="17"/>
      </w:rPr>
      <w:fldChar w:fldCharType="begin"/>
    </w:r>
    <w:r w:rsidRPr="004D3819">
      <w:rPr>
        <w:rFonts w:ascii="Arial" w:hAnsi="Arial" w:cs="Arial"/>
        <w:bCs/>
        <w:sz w:val="17"/>
        <w:szCs w:val="17"/>
      </w:rPr>
      <w:instrText xml:space="preserve"> NUMPAGES  </w:instrText>
    </w:r>
    <w:r w:rsidRPr="004D3819">
      <w:rPr>
        <w:rFonts w:ascii="Arial" w:hAnsi="Arial" w:cs="Arial"/>
        <w:bCs/>
        <w:sz w:val="17"/>
        <w:szCs w:val="17"/>
      </w:rPr>
      <w:fldChar w:fldCharType="separate"/>
    </w:r>
    <w:r w:rsidR="004D3819">
      <w:rPr>
        <w:rFonts w:ascii="Arial" w:hAnsi="Arial" w:cs="Arial"/>
        <w:bCs/>
        <w:noProof/>
        <w:sz w:val="17"/>
        <w:szCs w:val="17"/>
      </w:rPr>
      <w:t>2</w:t>
    </w:r>
    <w:r w:rsidRPr="004D3819">
      <w:rPr>
        <w:rFonts w:ascii="Arial" w:hAnsi="Arial" w:cs="Arial"/>
        <w:bCs/>
        <w:sz w:val="17"/>
        <w:szCs w:val="17"/>
      </w:rPr>
      <w:fldChar w:fldCharType="end"/>
    </w:r>
  </w:p>
  <w:p w14:paraId="2477D97D" w14:textId="77777777" w:rsidR="00C15648" w:rsidRDefault="001A1EB7">
    <w:pPr>
      <w:pStyle w:val="Footer"/>
    </w:pPr>
    <w:r>
      <w:rPr>
        <w:noProof/>
        <w:lang w:eastAsia="zh-CN"/>
      </w:rPr>
      <w:drawing>
        <wp:anchor distT="0" distB="0" distL="114300" distR="114300" simplePos="0" relativeHeight="251655168" behindDoc="1" locked="0" layoutInCell="1" allowOverlap="1" wp14:anchorId="508D0A1A" wp14:editId="4DC973B7">
          <wp:simplePos x="0" y="0"/>
          <wp:positionH relativeFrom="column">
            <wp:posOffset>-10795</wp:posOffset>
          </wp:positionH>
          <wp:positionV relativeFrom="paragraph">
            <wp:posOffset>9563100</wp:posOffset>
          </wp:positionV>
          <wp:extent cx="7559040" cy="1117600"/>
          <wp:effectExtent l="0" t="0" r="3810" b="6350"/>
          <wp:wrapNone/>
          <wp:docPr id="75" name="Picture 75"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portrait footer without tag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117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69A76" w14:textId="77777777" w:rsidR="004547DD" w:rsidRDefault="004547DD">
      <w:r>
        <w:separator/>
      </w:r>
    </w:p>
  </w:footnote>
  <w:footnote w:type="continuationSeparator" w:id="0">
    <w:p w14:paraId="3E5F0A5A" w14:textId="77777777" w:rsidR="004547DD" w:rsidRDefault="00454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684E" w14:textId="77777777" w:rsidR="00C15648" w:rsidRDefault="00F632C4">
    <w:pPr>
      <w:pStyle w:val="Header"/>
    </w:pPr>
    <w:r>
      <w:rPr>
        <w:rFonts w:ascii="Trebuchet MS" w:hAnsi="Trebuchet MS"/>
        <w:b/>
        <w:noProof/>
        <w:sz w:val="24"/>
        <w:szCs w:val="24"/>
        <w:lang w:eastAsia="zh-CN"/>
      </w:rPr>
      <w:drawing>
        <wp:anchor distT="0" distB="0" distL="114300" distR="114300" simplePos="0" relativeHeight="251660288" behindDoc="1" locked="0" layoutInCell="1" allowOverlap="1" wp14:anchorId="56740BCA" wp14:editId="3CF51887">
          <wp:simplePos x="0" y="0"/>
          <wp:positionH relativeFrom="page">
            <wp:align>right</wp:align>
          </wp:positionH>
          <wp:positionV relativeFrom="paragraph">
            <wp:posOffset>-345019</wp:posOffset>
          </wp:positionV>
          <wp:extent cx="7540388" cy="501214"/>
          <wp:effectExtent l="0" t="0" r="381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4-portrait-corporate-generic-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388" cy="501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F76D" w14:textId="5987D45F" w:rsidR="00C15648" w:rsidRDefault="00F632C4">
    <w:pPr>
      <w:pStyle w:val="Header"/>
    </w:pPr>
    <w:r>
      <w:rPr>
        <w:noProof/>
        <w:lang w:eastAsia="zh-CN"/>
      </w:rPr>
      <w:drawing>
        <wp:anchor distT="0" distB="0" distL="114300" distR="114300" simplePos="0" relativeHeight="251659264" behindDoc="1" locked="1" layoutInCell="1" allowOverlap="1" wp14:anchorId="477AFA30" wp14:editId="53DCEEE2">
          <wp:simplePos x="0" y="0"/>
          <wp:positionH relativeFrom="page">
            <wp:align>left</wp:align>
          </wp:positionH>
          <wp:positionV relativeFrom="page">
            <wp:align>top</wp:align>
          </wp:positionV>
          <wp:extent cx="7559675" cy="1079500"/>
          <wp:effectExtent l="0" t="0" r="3175" b="635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1C4CA2">
      <w:rPr>
        <w:noProof/>
        <w:lang w:eastAsia="zh-CN"/>
      </w:rPr>
      <w:drawing>
        <wp:anchor distT="0" distB="0" distL="114300" distR="114300" simplePos="0" relativeHeight="251654144" behindDoc="1" locked="0" layoutInCell="1" allowOverlap="1" wp14:anchorId="5DC54012" wp14:editId="7337E8EC">
          <wp:simplePos x="0" y="0"/>
          <wp:positionH relativeFrom="column">
            <wp:posOffset>-414655</wp:posOffset>
          </wp:positionH>
          <wp:positionV relativeFrom="paragraph">
            <wp:posOffset>-466090</wp:posOffset>
          </wp:positionV>
          <wp:extent cx="7559040" cy="711200"/>
          <wp:effectExtent l="0" t="0" r="3810" b="0"/>
          <wp:wrapNone/>
          <wp:docPr id="72" name="Picture 72" descr="A4 DET internal_head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ET internal_header portr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250F9"/>
    <w:multiLevelType w:val="hybridMultilevel"/>
    <w:tmpl w:val="5F80053C"/>
    <w:lvl w:ilvl="0" w:tplc="48D226C4">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5C1008"/>
    <w:multiLevelType w:val="hybridMultilevel"/>
    <w:tmpl w:val="79D6A9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48C1ECF"/>
    <w:multiLevelType w:val="hybridMultilevel"/>
    <w:tmpl w:val="60A636C0"/>
    <w:lvl w:ilvl="0" w:tplc="AEDE0492">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5386B92"/>
    <w:multiLevelType w:val="hybridMultilevel"/>
    <w:tmpl w:val="42865E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37BD"/>
    <w:rsid w:val="00016B4F"/>
    <w:rsid w:val="0002252F"/>
    <w:rsid w:val="00027FCB"/>
    <w:rsid w:val="0003514B"/>
    <w:rsid w:val="00037C8A"/>
    <w:rsid w:val="0004171B"/>
    <w:rsid w:val="00047364"/>
    <w:rsid w:val="00090E83"/>
    <w:rsid w:val="000A2479"/>
    <w:rsid w:val="000A5E50"/>
    <w:rsid w:val="000B0A57"/>
    <w:rsid w:val="000B6D94"/>
    <w:rsid w:val="000D6620"/>
    <w:rsid w:val="00101A62"/>
    <w:rsid w:val="001105DD"/>
    <w:rsid w:val="00111E1A"/>
    <w:rsid w:val="00121B95"/>
    <w:rsid w:val="00130234"/>
    <w:rsid w:val="001421BA"/>
    <w:rsid w:val="0015234C"/>
    <w:rsid w:val="0015469E"/>
    <w:rsid w:val="00156DAC"/>
    <w:rsid w:val="00180A81"/>
    <w:rsid w:val="00193CDC"/>
    <w:rsid w:val="001A14B3"/>
    <w:rsid w:val="001A1EB7"/>
    <w:rsid w:val="001A3DEA"/>
    <w:rsid w:val="001A3FD5"/>
    <w:rsid w:val="001C4CA2"/>
    <w:rsid w:val="001E05FA"/>
    <w:rsid w:val="001E1DD6"/>
    <w:rsid w:val="001E4424"/>
    <w:rsid w:val="001F47F9"/>
    <w:rsid w:val="001F67FB"/>
    <w:rsid w:val="00216B5C"/>
    <w:rsid w:val="0021739C"/>
    <w:rsid w:val="00217BFF"/>
    <w:rsid w:val="0022354E"/>
    <w:rsid w:val="002248CC"/>
    <w:rsid w:val="0022550C"/>
    <w:rsid w:val="002332BE"/>
    <w:rsid w:val="00253958"/>
    <w:rsid w:val="00281B78"/>
    <w:rsid w:val="0029415A"/>
    <w:rsid w:val="002A20C0"/>
    <w:rsid w:val="002A5592"/>
    <w:rsid w:val="002A638C"/>
    <w:rsid w:val="002B25B4"/>
    <w:rsid w:val="002D1160"/>
    <w:rsid w:val="002D1646"/>
    <w:rsid w:val="002D1C60"/>
    <w:rsid w:val="002D6752"/>
    <w:rsid w:val="002F124E"/>
    <w:rsid w:val="00310DCB"/>
    <w:rsid w:val="003118EA"/>
    <w:rsid w:val="003276C2"/>
    <w:rsid w:val="003570D7"/>
    <w:rsid w:val="0038271A"/>
    <w:rsid w:val="00387339"/>
    <w:rsid w:val="00396AB0"/>
    <w:rsid w:val="003A3071"/>
    <w:rsid w:val="003B2730"/>
    <w:rsid w:val="003B6F87"/>
    <w:rsid w:val="003C2EF2"/>
    <w:rsid w:val="003C68CB"/>
    <w:rsid w:val="003D45E3"/>
    <w:rsid w:val="003D580E"/>
    <w:rsid w:val="003F0C16"/>
    <w:rsid w:val="00435486"/>
    <w:rsid w:val="00446D5E"/>
    <w:rsid w:val="004547DD"/>
    <w:rsid w:val="004621DF"/>
    <w:rsid w:val="00476534"/>
    <w:rsid w:val="00480F11"/>
    <w:rsid w:val="00482A79"/>
    <w:rsid w:val="00491BC8"/>
    <w:rsid w:val="00494ABC"/>
    <w:rsid w:val="004A0464"/>
    <w:rsid w:val="004A1F92"/>
    <w:rsid w:val="004B4166"/>
    <w:rsid w:val="004C6A34"/>
    <w:rsid w:val="004D3819"/>
    <w:rsid w:val="004D4B0A"/>
    <w:rsid w:val="004E4EE2"/>
    <w:rsid w:val="00501D90"/>
    <w:rsid w:val="005173E8"/>
    <w:rsid w:val="00531E4C"/>
    <w:rsid w:val="005350AC"/>
    <w:rsid w:val="00542DB3"/>
    <w:rsid w:val="005528D5"/>
    <w:rsid w:val="00560D38"/>
    <w:rsid w:val="005640E5"/>
    <w:rsid w:val="00567D03"/>
    <w:rsid w:val="005B3F02"/>
    <w:rsid w:val="005B7138"/>
    <w:rsid w:val="005D0AFC"/>
    <w:rsid w:val="005D25B3"/>
    <w:rsid w:val="005D2F73"/>
    <w:rsid w:val="005D43EB"/>
    <w:rsid w:val="005E3031"/>
    <w:rsid w:val="005F0DC8"/>
    <w:rsid w:val="005F640A"/>
    <w:rsid w:val="0060412D"/>
    <w:rsid w:val="006109B9"/>
    <w:rsid w:val="00624529"/>
    <w:rsid w:val="00631E4F"/>
    <w:rsid w:val="00634349"/>
    <w:rsid w:val="0063490E"/>
    <w:rsid w:val="006467F3"/>
    <w:rsid w:val="006526DB"/>
    <w:rsid w:val="00652E39"/>
    <w:rsid w:val="00666540"/>
    <w:rsid w:val="00671EED"/>
    <w:rsid w:val="006826DA"/>
    <w:rsid w:val="0068642B"/>
    <w:rsid w:val="006935A9"/>
    <w:rsid w:val="006A252F"/>
    <w:rsid w:val="006A3B91"/>
    <w:rsid w:val="006B3AE3"/>
    <w:rsid w:val="006B77A1"/>
    <w:rsid w:val="006C230A"/>
    <w:rsid w:val="006D7771"/>
    <w:rsid w:val="006E2315"/>
    <w:rsid w:val="006F0127"/>
    <w:rsid w:val="006F7C13"/>
    <w:rsid w:val="0071349D"/>
    <w:rsid w:val="0073490D"/>
    <w:rsid w:val="00756930"/>
    <w:rsid w:val="007864A5"/>
    <w:rsid w:val="00790097"/>
    <w:rsid w:val="007957F4"/>
    <w:rsid w:val="00797842"/>
    <w:rsid w:val="007A66E3"/>
    <w:rsid w:val="007A6950"/>
    <w:rsid w:val="007D11E3"/>
    <w:rsid w:val="007E37BA"/>
    <w:rsid w:val="008748F3"/>
    <w:rsid w:val="00885BA2"/>
    <w:rsid w:val="008B0E97"/>
    <w:rsid w:val="008B127E"/>
    <w:rsid w:val="008E0630"/>
    <w:rsid w:val="009109A0"/>
    <w:rsid w:val="00921A3B"/>
    <w:rsid w:val="0094152C"/>
    <w:rsid w:val="00956403"/>
    <w:rsid w:val="009717AB"/>
    <w:rsid w:val="009812C8"/>
    <w:rsid w:val="00984E65"/>
    <w:rsid w:val="009945FA"/>
    <w:rsid w:val="009A2A2F"/>
    <w:rsid w:val="009B539C"/>
    <w:rsid w:val="009B60D2"/>
    <w:rsid w:val="009C2822"/>
    <w:rsid w:val="009C7762"/>
    <w:rsid w:val="009D2183"/>
    <w:rsid w:val="009D4AF2"/>
    <w:rsid w:val="009E569F"/>
    <w:rsid w:val="009E5B9C"/>
    <w:rsid w:val="009F2E7F"/>
    <w:rsid w:val="00A005EA"/>
    <w:rsid w:val="00A11F2A"/>
    <w:rsid w:val="00A13BAF"/>
    <w:rsid w:val="00A4202F"/>
    <w:rsid w:val="00A66ADC"/>
    <w:rsid w:val="00A727E4"/>
    <w:rsid w:val="00A77FE4"/>
    <w:rsid w:val="00A84548"/>
    <w:rsid w:val="00AB76A8"/>
    <w:rsid w:val="00AD2779"/>
    <w:rsid w:val="00AF0D68"/>
    <w:rsid w:val="00B0151F"/>
    <w:rsid w:val="00B03A6D"/>
    <w:rsid w:val="00B230AF"/>
    <w:rsid w:val="00B24017"/>
    <w:rsid w:val="00B27D78"/>
    <w:rsid w:val="00B302FF"/>
    <w:rsid w:val="00B326D1"/>
    <w:rsid w:val="00B46B0D"/>
    <w:rsid w:val="00B65E84"/>
    <w:rsid w:val="00B66468"/>
    <w:rsid w:val="00B801A2"/>
    <w:rsid w:val="00B9372D"/>
    <w:rsid w:val="00BB71A9"/>
    <w:rsid w:val="00BC37BF"/>
    <w:rsid w:val="00BD7DF7"/>
    <w:rsid w:val="00BE05DF"/>
    <w:rsid w:val="00BE1185"/>
    <w:rsid w:val="00C15648"/>
    <w:rsid w:val="00C21315"/>
    <w:rsid w:val="00C273BC"/>
    <w:rsid w:val="00C4637C"/>
    <w:rsid w:val="00C5743A"/>
    <w:rsid w:val="00C84C09"/>
    <w:rsid w:val="00C9107A"/>
    <w:rsid w:val="00CB2DDE"/>
    <w:rsid w:val="00CC1947"/>
    <w:rsid w:val="00CD0EEF"/>
    <w:rsid w:val="00CE2FA7"/>
    <w:rsid w:val="00CE6EE0"/>
    <w:rsid w:val="00CF2281"/>
    <w:rsid w:val="00CF4248"/>
    <w:rsid w:val="00CF58A6"/>
    <w:rsid w:val="00CF7AFA"/>
    <w:rsid w:val="00D0337E"/>
    <w:rsid w:val="00D208E5"/>
    <w:rsid w:val="00D24FB4"/>
    <w:rsid w:val="00D41438"/>
    <w:rsid w:val="00D43BD4"/>
    <w:rsid w:val="00D5256E"/>
    <w:rsid w:val="00D57CA7"/>
    <w:rsid w:val="00D61D1C"/>
    <w:rsid w:val="00D64565"/>
    <w:rsid w:val="00D76495"/>
    <w:rsid w:val="00D869A1"/>
    <w:rsid w:val="00D93204"/>
    <w:rsid w:val="00DB08E5"/>
    <w:rsid w:val="00DF293E"/>
    <w:rsid w:val="00DF5875"/>
    <w:rsid w:val="00E02045"/>
    <w:rsid w:val="00E11F28"/>
    <w:rsid w:val="00E12633"/>
    <w:rsid w:val="00E16EF4"/>
    <w:rsid w:val="00E35C2B"/>
    <w:rsid w:val="00E36E8B"/>
    <w:rsid w:val="00E6432B"/>
    <w:rsid w:val="00E66976"/>
    <w:rsid w:val="00E67554"/>
    <w:rsid w:val="00E7501F"/>
    <w:rsid w:val="00E81C4C"/>
    <w:rsid w:val="00E83DF4"/>
    <w:rsid w:val="00EC1D0F"/>
    <w:rsid w:val="00EE27F9"/>
    <w:rsid w:val="00EE2930"/>
    <w:rsid w:val="00EE2C80"/>
    <w:rsid w:val="00EE6916"/>
    <w:rsid w:val="00EF4BDA"/>
    <w:rsid w:val="00F12C1C"/>
    <w:rsid w:val="00F36865"/>
    <w:rsid w:val="00F41140"/>
    <w:rsid w:val="00F43AA9"/>
    <w:rsid w:val="00F45E70"/>
    <w:rsid w:val="00F632C4"/>
    <w:rsid w:val="00F94BB6"/>
    <w:rsid w:val="00FD322E"/>
    <w:rsid w:val="00FD76DC"/>
    <w:rsid w:val="00FF0B7D"/>
    <w:rsid w:val="00FF1142"/>
    <w:rsid w:val="00FF331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7B3096"/>
  <w15:docId w15:val="{BFDE9E67-FD2B-437F-A2CE-96CAC763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3"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BC8"/>
    <w:rPr>
      <w:rFonts w:ascii="Arial" w:eastAsia="Arial Unicode MS" w:hAnsi="Arial"/>
      <w:sz w:val="22"/>
      <w:lang w:eastAsia="en-AU"/>
    </w:rPr>
  </w:style>
  <w:style w:type="paragraph" w:styleId="Heading1">
    <w:name w:val="heading 1"/>
    <w:basedOn w:val="Normal"/>
    <w:next w:val="Normal"/>
    <w:link w:val="Heading1Char"/>
    <w:qFormat/>
    <w:rsid w:val="00491BC8"/>
    <w:pPr>
      <w:keepNext/>
      <w:kinsoku w:val="0"/>
      <w:overflowPunct w:val="0"/>
      <w:spacing w:before="360" w:after="160" w:line="240" w:lineRule="atLeast"/>
      <w:outlineLvl w:val="0"/>
    </w:pPr>
    <w:rPr>
      <w:rFonts w:ascii="Arial Bold" w:hAnsi="Arial Bold"/>
      <w:b/>
      <w:bCs/>
      <w:kern w:val="32"/>
      <w:sz w:val="32"/>
      <w:szCs w:val="32"/>
    </w:rPr>
  </w:style>
  <w:style w:type="paragraph" w:styleId="Heading2">
    <w:name w:val="heading 2"/>
    <w:basedOn w:val="Normal"/>
    <w:next w:val="Normal"/>
    <w:qFormat/>
    <w:rsid w:val="00491BC8"/>
    <w:pPr>
      <w:keepNext/>
      <w:spacing w:before="280" w:after="120" w:line="240" w:lineRule="atLeast"/>
      <w:outlineLvl w:val="1"/>
    </w:pPr>
    <w:rPr>
      <w:rFonts w:ascii="Arial Bold" w:hAnsi="Arial Bold"/>
      <w:b/>
      <w:sz w:val="28"/>
    </w:rPr>
  </w:style>
  <w:style w:type="paragraph" w:styleId="Heading3">
    <w:name w:val="heading 3"/>
    <w:basedOn w:val="Normal"/>
    <w:next w:val="Normal"/>
    <w:qFormat/>
    <w:rsid w:val="00491BC8"/>
    <w:pPr>
      <w:keepNext/>
      <w:suppressAutoHyphens/>
      <w:spacing w:before="240" w:after="60" w:line="240" w:lineRule="atLeast"/>
      <w:outlineLvl w:val="2"/>
    </w:pPr>
    <w:rPr>
      <w:b/>
    </w:rPr>
  </w:style>
  <w:style w:type="paragraph" w:styleId="Heading4">
    <w:name w:val="heading 4"/>
    <w:basedOn w:val="Heading3"/>
    <w:next w:val="Normal"/>
    <w:link w:val="Heading4Char"/>
    <w:unhideWhenUsed/>
    <w:qFormat/>
    <w:rsid w:val="00491BC8"/>
    <w:pPr>
      <w:spacing w:before="160"/>
      <w:outlineLvl w:val="3"/>
    </w:pPr>
    <w:rPr>
      <w:b w:val="0"/>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A252F"/>
    <w:pPr>
      <w:suppressAutoHyphens/>
      <w:spacing w:before="120" w:after="120" w:line="260" w:lineRule="exact"/>
    </w:pPr>
    <w:rPr>
      <w:sz w:val="20"/>
    </w:rPr>
  </w:style>
  <w:style w:type="paragraph" w:styleId="Header">
    <w:name w:val="header"/>
    <w:basedOn w:val="Normal"/>
    <w:rsid w:val="00491BC8"/>
    <w:pPr>
      <w:tabs>
        <w:tab w:val="center" w:pos="4153"/>
        <w:tab w:val="right" w:pos="8306"/>
      </w:tabs>
    </w:pPr>
  </w:style>
  <w:style w:type="paragraph" w:styleId="Footer">
    <w:name w:val="footer"/>
    <w:basedOn w:val="Normal"/>
    <w:link w:val="FooterChar"/>
    <w:uiPriority w:val="99"/>
    <w:rsid w:val="00491BC8"/>
    <w:pPr>
      <w:tabs>
        <w:tab w:val="center" w:pos="4153"/>
        <w:tab w:val="right" w:pos="8306"/>
      </w:tabs>
    </w:pPr>
  </w:style>
  <w:style w:type="paragraph" w:styleId="ListParagraph">
    <w:name w:val="List Paragraph"/>
    <w:basedOn w:val="Normal"/>
    <w:uiPriority w:val="34"/>
    <w:qFormat/>
    <w:rsid w:val="00253958"/>
    <w:pPr>
      <w:spacing w:after="200" w:line="276" w:lineRule="auto"/>
      <w:ind w:left="720"/>
      <w:contextualSpacing/>
    </w:pPr>
    <w:rPr>
      <w:rFonts w:ascii="Calibri" w:eastAsia="SimSun" w:hAnsi="Calibri"/>
      <w:szCs w:val="22"/>
      <w:lang w:eastAsia="zh-CN"/>
    </w:rPr>
  </w:style>
  <w:style w:type="character" w:styleId="Hyperlink">
    <w:name w:val="Hyperlink"/>
    <w:uiPriority w:val="99"/>
    <w:unhideWhenUsed/>
    <w:rsid w:val="00253958"/>
    <w:rPr>
      <w:color w:val="0000FF"/>
      <w:u w:val="single"/>
    </w:rPr>
  </w:style>
  <w:style w:type="character" w:customStyle="1" w:styleId="Heading1Char">
    <w:name w:val="Heading 1 Char"/>
    <w:link w:val="Heading1"/>
    <w:rsid w:val="00491BC8"/>
    <w:rPr>
      <w:rFonts w:ascii="Arial Bold" w:eastAsia="Arial Unicode MS" w:hAnsi="Arial Bold"/>
      <w:b/>
      <w:bCs/>
      <w:kern w:val="32"/>
      <w:sz w:val="32"/>
      <w:szCs w:val="32"/>
      <w:lang w:eastAsia="en-AU"/>
    </w:rPr>
  </w:style>
  <w:style w:type="paragraph" w:customStyle="1" w:styleId="Bullet1">
    <w:name w:val="Bullet 1"/>
    <w:basedOn w:val="BlockText"/>
    <w:qFormat/>
    <w:rsid w:val="00491BC8"/>
    <w:pPr>
      <w:numPr>
        <w:numId w:val="3"/>
      </w:numPr>
      <w:tabs>
        <w:tab w:val="left" w:pos="284"/>
      </w:tabs>
      <w:spacing w:before="60" w:after="60"/>
      <w:ind w:left="284" w:hanging="284"/>
    </w:pPr>
  </w:style>
  <w:style w:type="paragraph" w:customStyle="1" w:styleId="Bullet2">
    <w:name w:val="Bullet 2"/>
    <w:basedOn w:val="Bullet1"/>
    <w:qFormat/>
    <w:rsid w:val="00491BC8"/>
    <w:pPr>
      <w:numPr>
        <w:numId w:val="4"/>
      </w:numPr>
      <w:tabs>
        <w:tab w:val="clear" w:pos="284"/>
        <w:tab w:val="left" w:pos="567"/>
      </w:tabs>
      <w:spacing w:line="240" w:lineRule="exact"/>
      <w:ind w:left="568" w:hanging="284"/>
    </w:pPr>
  </w:style>
  <w:style w:type="character" w:customStyle="1" w:styleId="FooterChar">
    <w:name w:val="Footer Char"/>
    <w:link w:val="Footer"/>
    <w:uiPriority w:val="99"/>
    <w:rsid w:val="00491BC8"/>
    <w:rPr>
      <w:rFonts w:ascii="Arial" w:eastAsia="Arial Unicode MS" w:hAnsi="Arial"/>
      <w:sz w:val="22"/>
      <w:lang w:eastAsia="en-AU"/>
    </w:rPr>
  </w:style>
  <w:style w:type="paragraph" w:styleId="Revision">
    <w:name w:val="Revision"/>
    <w:hidden/>
    <w:uiPriority w:val="99"/>
    <w:semiHidden/>
    <w:rsid w:val="00CF58A6"/>
    <w:rPr>
      <w:rFonts w:ascii="Arial" w:eastAsia="Times" w:hAnsi="Arial"/>
      <w:sz w:val="24"/>
      <w:lang w:eastAsia="en-AU"/>
    </w:rPr>
  </w:style>
  <w:style w:type="paragraph" w:styleId="BalloonText">
    <w:name w:val="Balloon Text"/>
    <w:basedOn w:val="Normal"/>
    <w:link w:val="BalloonTextChar"/>
    <w:rsid w:val="00CF58A6"/>
    <w:rPr>
      <w:rFonts w:ascii="Tahoma" w:hAnsi="Tahoma" w:cs="Tahoma"/>
      <w:sz w:val="16"/>
      <w:szCs w:val="16"/>
    </w:rPr>
  </w:style>
  <w:style w:type="character" w:customStyle="1" w:styleId="BalloonTextChar">
    <w:name w:val="Balloon Text Char"/>
    <w:link w:val="BalloonText"/>
    <w:rsid w:val="00CF58A6"/>
    <w:rPr>
      <w:rFonts w:ascii="Tahoma" w:eastAsia="Times" w:hAnsi="Tahoma" w:cs="Tahoma"/>
      <w:sz w:val="16"/>
      <w:szCs w:val="16"/>
      <w:lang w:eastAsia="en-AU"/>
    </w:rPr>
  </w:style>
  <w:style w:type="character" w:customStyle="1" w:styleId="Heading4Char">
    <w:name w:val="Heading 4 Char"/>
    <w:link w:val="Heading4"/>
    <w:rsid w:val="00491BC8"/>
    <w:rPr>
      <w:rFonts w:ascii="Arial" w:eastAsia="Arial Unicode MS" w:hAnsi="Arial"/>
      <w:bCs/>
      <w:i/>
      <w:sz w:val="22"/>
      <w:szCs w:val="28"/>
      <w:lang w:eastAsia="en-AU"/>
    </w:rPr>
  </w:style>
  <w:style w:type="character" w:styleId="FollowedHyperlink">
    <w:name w:val="FollowedHyperlink"/>
    <w:uiPriority w:val="3"/>
    <w:rsid w:val="006826DA"/>
    <w:rPr>
      <w:color w:val="800080"/>
      <w:u w:val="single"/>
    </w:rPr>
  </w:style>
  <w:style w:type="character" w:styleId="CommentReference">
    <w:name w:val="annotation reference"/>
    <w:rsid w:val="00435486"/>
    <w:rPr>
      <w:sz w:val="16"/>
      <w:szCs w:val="16"/>
    </w:rPr>
  </w:style>
  <w:style w:type="paragraph" w:styleId="CommentText">
    <w:name w:val="annotation text"/>
    <w:basedOn w:val="Normal"/>
    <w:link w:val="CommentTextChar"/>
    <w:rsid w:val="00435486"/>
    <w:rPr>
      <w:sz w:val="20"/>
    </w:rPr>
  </w:style>
  <w:style w:type="character" w:customStyle="1" w:styleId="CommentTextChar">
    <w:name w:val="Comment Text Char"/>
    <w:link w:val="CommentText"/>
    <w:rsid w:val="00435486"/>
    <w:rPr>
      <w:rFonts w:ascii="Arial" w:eastAsia="Arial Unicode MS" w:hAnsi="Arial"/>
      <w:lang w:eastAsia="en-AU"/>
    </w:rPr>
  </w:style>
  <w:style w:type="paragraph" w:styleId="CommentSubject">
    <w:name w:val="annotation subject"/>
    <w:basedOn w:val="CommentText"/>
    <w:next w:val="CommentText"/>
    <w:link w:val="CommentSubjectChar"/>
    <w:rsid w:val="00435486"/>
    <w:rPr>
      <w:b/>
      <w:bCs/>
    </w:rPr>
  </w:style>
  <w:style w:type="character" w:customStyle="1" w:styleId="CommentSubjectChar">
    <w:name w:val="Comment Subject Char"/>
    <w:link w:val="CommentSubject"/>
    <w:rsid w:val="00435486"/>
    <w:rPr>
      <w:rFonts w:ascii="Arial" w:eastAsia="Arial Unicode MS"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80960">
      <w:bodyDiv w:val="1"/>
      <w:marLeft w:val="0"/>
      <w:marRight w:val="0"/>
      <w:marTop w:val="0"/>
      <w:marBottom w:val="0"/>
      <w:divBdr>
        <w:top w:val="none" w:sz="0" w:space="0" w:color="auto"/>
        <w:left w:val="none" w:sz="0" w:space="0" w:color="auto"/>
        <w:bottom w:val="none" w:sz="0" w:space="0" w:color="auto"/>
        <w:right w:val="none" w:sz="0" w:space="0" w:color="auto"/>
      </w:divBdr>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2782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ed.qld.gov.au/workfordet/induction/det/inductionprogramsandresources/Documents/code-of-conduct-standard-of-practice.pdf" TargetMode="External"/><Relationship Id="rId18" Type="http://schemas.openxmlformats.org/officeDocument/2006/relationships/hyperlink" Target="https://www.legislation.qld.gov.au/view/html/inforce/current/sl-2009-019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qlddet.service-now.com/sco/" TargetMode="External"/><Relationship Id="rId7" Type="http://schemas.openxmlformats.org/officeDocument/2006/relationships/settings" Target="settings.xml"/><Relationship Id="rId12" Type="http://schemas.openxmlformats.org/officeDocument/2006/relationships/hyperlink" Target="https://www.forgov.qld.gov.au/code-conduct-queensland-public-service" TargetMode="External"/><Relationship Id="rId17" Type="http://schemas.openxmlformats.org/officeDocument/2006/relationships/hyperlink" Target="http://www.who.int/mediacentre/factsheets/fs193/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qlddet.service-now.com/sco/" TargetMode="External"/><Relationship Id="rId20" Type="http://schemas.openxmlformats.org/officeDocument/2006/relationships/hyperlink" Target="https://ppr.mpe.qed.qld.gov.au/pp/ict-asset-management-procedu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use-of-mobile-devices-procedure" TargetMode="External"/><Relationship Id="rId24" Type="http://schemas.openxmlformats.org/officeDocument/2006/relationships/hyperlink" Target="https://creativecommons.org/licenses/by/4.0/" TargetMode="External"/><Relationship Id="rId5" Type="http://schemas.openxmlformats.org/officeDocument/2006/relationships/numbering" Target="numbering.xml"/><Relationship Id="rId15" Type="http://schemas.openxmlformats.org/officeDocument/2006/relationships/hyperlink" Target="https://ppr.mpe.qed.qld.gov.au/attachment/use-of-ict-facilities-and-devices-guideline.docx" TargetMode="External"/><Relationship Id="rId23"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qlddet.service-now.com/sco/"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mpe.qed.qld.gov.au/attachment/use-of-ict-facilities-and-devices-guideline.docx" TargetMode="External"/><Relationship Id="rId22" Type="http://schemas.openxmlformats.org/officeDocument/2006/relationships/hyperlink" Target="https://creativecommons.org/licenses/by/4.0/"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use-of-mobile-devices-procedure"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ppr.mpe.qed.qld.gov.au/pp/use-of-mobile-devices-procedure" TargetMode="External"/><Relationship Id="rId2" Type="http://schemas.openxmlformats.org/officeDocument/2006/relationships/image" Target="media/image6.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20/686484</PPRHPRMRecordNumber>
    <PPRAttachmentParent xmlns="http://schemas.microsoft.com/sharepoint/v3">20/685084</PPRAttachmentParent>
    <PPRDecommissioned xmlns="http://schemas.microsoft.com/sharepoint/v3">false</PPRDecommissioned>
    <PPReferenceNumber xmlns="16795be8-4374-4e44-895d-be6cdbab3e2c" xsi:nil="true"/>
    <PPRPrimarySubCategory xmlns="16795be8-4374-4e44-895d-be6cdbab3e2c" xsi:nil="true"/>
    <PPLastReviewedBy xmlns="16795be8-4374-4e44-895d-be6cdbab3e2c">
      <UserInfo>
        <DisplayName>KURZ, Kristyn</DisplayName>
        <AccountId>2267</AccountId>
        <AccountType/>
      </UserInfo>
    </PPLastReviewedBy>
    <PPModeratedBy xmlns="16795be8-4374-4e44-895d-be6cdbab3e2c">
      <UserInfo>
        <DisplayName>KURZ, Kristyn</DisplayName>
        <AccountId>2267</AccountId>
        <AccountType/>
      </UserInfo>
    </PPModeratedBy>
    <PPContentAuthor xmlns="16795be8-4374-4e44-895d-be6cdbab3e2c">
      <UserInfo>
        <DisplayName/>
        <AccountId xsi:nil="true"/>
        <AccountType/>
      </UserInfo>
    </PPContentAuthor>
    <PPRHPRMRevisionNumber xmlns="http://schemas.microsoft.com/sharepoint/v3">3</PPRHPRMRevisionNumber>
    <PublishingStartDate xmlns="http://schemas.microsoft.com/sharepoint/v3" xsi:nil="true"/>
    <PPRUpdateNotes xmlns="http://schemas.microsoft.com/sharepoint/v3" xsi:nil="true"/>
    <PPRContentType xmlns="http://schemas.microsoft.com/sharepoint/v3">Supporting information</PPRContentType>
    <PPRNotes xmlns="http://schemas.microsoft.com/sharepoint/v3" xsi:nil="true"/>
    <PPRHPRMUpdateDate xmlns="http://schemas.microsoft.com/sharepoint/v3">2021-02-02T02:06:26+00:00</PPRHPRMUpdateDate>
    <PPRKeywords xmlns="http://schemas.microsoft.com/sharepoint/v3">mobile device; mobile phone; bring your own; BYO; Information Communication Technology; ICT; Information Management; IM; BYOD;</PPRKeywords>
    <PPRBranch xmlns="http://schemas.microsoft.com/sharepoint/v3">Information and Technologies</PPRBranch>
    <PPRPrimaryCategory xmlns="16795be8-4374-4e44-895d-be6cdbab3e2c">11</PPRPrimaryCategory>
    <PPRSecondaryCategory xmlns="16795be8-4374-4e44-895d-be6cdbab3e2c"/>
    <PPRDecommissionedDate xmlns="http://schemas.microsoft.com/sharepoint/v3" xsi:nil="true"/>
    <PPRIsUpdatesPage xmlns="http://schemas.microsoft.com/sharepoint/v3">false</PPRIsUpdatesPage>
    <PPLastReviewedDate xmlns="16795be8-4374-4e44-895d-be6cdbab3e2c">2024-03-01T05:30:56+00:00</PPLastReviewedDate>
    <PPRVersionEffectiveDate xmlns="http://schemas.microsoft.com/sharepoint/v3" xsi:nil="true"/>
    <PPModeratedDate xmlns="16795be8-4374-4e44-895d-be6cdbab3e2c">2024-03-01T05:30:56+00:00</PPModeratedDate>
    <PPRStatus xmlns="http://schemas.microsoft.com/sharepoint/v3" xsi:nil="true"/>
    <PPSubmittedDate xmlns="16795be8-4374-4e44-895d-be6cdbab3e2c">2024-03-01T05:13:16+00:00</PPSubmittedDate>
    <PublishingExpirationDate xmlns="http://schemas.microsoft.com/sharepoint/v3" xsi:nil="true"/>
    <PPRRiskcontrol xmlns="http://schemas.microsoft.com/sharepoint/v3">false</PPRRiskcontrol>
    <PPContentOwner xmlns="16795be8-4374-4e44-895d-be6cdbab3e2c">
      <UserInfo>
        <DisplayName>KURZ, Kristyn</DisplayName>
        <AccountId>2267</AccountId>
        <AccountType/>
      </UserInfo>
    </PPContentOwner>
    <PPSubmittedBy xmlns="16795be8-4374-4e44-895d-be6cdbab3e2c">
      <UserInfo>
        <DisplayName>GILLAM, Maddison</DisplayName>
        <AccountId>19895</AccountId>
        <AccountType/>
      </UserInfo>
    </PPSubmittedBy>
    <PPRNewVersion xmlns="http://schemas.microsoft.com/sharepoint/v3">false</PPRNewVersion>
    <PPRContentOwner xmlns="http://schemas.microsoft.com/sharepoint/v3">DDG, People and Corporate Services</PPRContentOwner>
    <PPRNominatedApprovers xmlns="http://schemas.microsoft.com/sharepoint/v3">ED; ADG; ADG</PPRNominatedApprovers>
    <PPRVersionNumber xmlns="http://schemas.microsoft.com/sharepoint/v3" xsi:nil="true"/>
    <PPReviewDate xmlns="16795be8-4374-4e44-895d-be6cdbab3e2c" xsi:nil="true"/>
    <PPRBusinessUnit xmlns="http://schemas.microsoft.com/sharepoint/v3">Information Management</PPRBusinessUnit>
    <PPRContentAuthor xmlns="http://schemas.microsoft.com/sharepoint/v3">Jennifer Bowman-Day, Manager</PPRContentAuthor>
    <PPRDivision xmlns="http://schemas.microsoft.com/sharepoint/v3">People and Corporate Services</PPRDivision>
    <PPRPublishedDate xmlns="http://schemas.microsoft.com/sharepoint/v3" xsi:nil="true"/>
    <PPRSecondarySubCategory xmlns="16795be8-4374-4e44-895d-be6cdbab3e2c"/>
    <PPRDescription xmlns="http://schemas.microsoft.com/sharepoint/v3">Departmental mobile devices and services - Conditions of use</PPRDescription>
    <PPContentApprover xmlns="16795be8-4374-4e44-895d-be6cdbab3e2c">
      <UserInfo>
        <DisplayName>KURZ, Kristyn</DisplayName>
        <AccountId>2267</AccountId>
        <AccountType/>
      </UserInfo>
    </PPContentApprover>
    <PPPublishedNotificationAddresses xmlns="16795be8-4374-4e44-895d-be6cdbab3e2c">alex.moir@qed.qld.gov.au</PPPublishedNotificationAddresses>
    <PPRHierarchyID xmlns="http://schemas.microsoft.com/sharepoint/v3" xsi:nil="true"/>
  </documentManagement>
</p:properties>
</file>

<file path=customXml/itemProps1.xml><?xml version="1.0" encoding="utf-8"?>
<ds:datastoreItem xmlns:ds="http://schemas.openxmlformats.org/officeDocument/2006/customXml" ds:itemID="{A4E98ECF-6A98-4759-B66F-F97E30166088}">
  <ds:schemaRefs>
    <ds:schemaRef ds:uri="http://schemas.microsoft.com/office/2006/metadata/longProperties"/>
  </ds:schemaRefs>
</ds:datastoreItem>
</file>

<file path=customXml/itemProps2.xml><?xml version="1.0" encoding="utf-8"?>
<ds:datastoreItem xmlns:ds="http://schemas.openxmlformats.org/officeDocument/2006/customXml" ds:itemID="{C2882E76-9BAC-49F8-9843-012EEA4941C9}">
  <ds:schemaRefs>
    <ds:schemaRef ds:uri="http://schemas.microsoft.com/sharepoint/v3/contenttype/forms"/>
  </ds:schemaRefs>
</ds:datastoreItem>
</file>

<file path=customXml/itemProps3.xml><?xml version="1.0" encoding="utf-8"?>
<ds:datastoreItem xmlns:ds="http://schemas.openxmlformats.org/officeDocument/2006/customXml" ds:itemID="{DE90AFBC-0A12-40E3-A161-E5B7A631759F}"/>
</file>

<file path=customXml/itemProps4.xml><?xml version="1.0" encoding="utf-8"?>
<ds:datastoreItem xmlns:ds="http://schemas.openxmlformats.org/officeDocument/2006/customXml" ds:itemID="{9C5BF6C0-067B-4D4A-B5DC-321BB84BE4AF}">
  <ds:schemaRefs>
    <ds:schemaRef ds:uri="http://schemas.openxmlformats.org/officeDocument/2006/bibliography"/>
  </ds:schemaRefs>
</ds:datastoreItem>
</file>

<file path=customXml/itemProps5.xml><?xml version="1.0" encoding="utf-8"?>
<ds:datastoreItem xmlns:ds="http://schemas.openxmlformats.org/officeDocument/2006/customXml" ds:itemID="{8FC4AF99-9AA5-438E-BEF8-AA337A2E9CD6}"/>
</file>

<file path=docProps/app.xml><?xml version="1.0" encoding="utf-8"?>
<Properties xmlns="http://schemas.openxmlformats.org/officeDocument/2006/extended-properties" xmlns:vt="http://schemas.openxmlformats.org/officeDocument/2006/docPropsVTypes">
  <Template>Normal.dotm</Template>
  <TotalTime>8</TotalTime>
  <Pages>2</Pages>
  <Words>952</Words>
  <Characters>6061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Mobile Devices and Services - Conditions of Use</vt:lpstr>
    </vt:vector>
  </TitlesOfParts>
  <Company>Queensland Government, DETE</Company>
  <LinksUpToDate>false</LinksUpToDate>
  <CharactersWithSpaces>7000</CharactersWithSpaces>
  <SharedDoc>false</SharedDoc>
  <HLinks>
    <vt:vector size="60" baseType="variant">
      <vt:variant>
        <vt:i4>7012385</vt:i4>
      </vt:variant>
      <vt:variant>
        <vt:i4>18</vt:i4>
      </vt:variant>
      <vt:variant>
        <vt:i4>0</vt:i4>
      </vt:variant>
      <vt:variant>
        <vt:i4>5</vt:i4>
      </vt:variant>
      <vt:variant>
        <vt:lpwstr>https://qlddet.service-now.com/sco/</vt:lpwstr>
      </vt:variant>
      <vt:variant>
        <vt:lpwstr/>
      </vt:variant>
      <vt:variant>
        <vt:i4>5308482</vt:i4>
      </vt:variant>
      <vt:variant>
        <vt:i4>15</vt:i4>
      </vt:variant>
      <vt:variant>
        <vt:i4>0</vt:i4>
      </vt:variant>
      <vt:variant>
        <vt:i4>5</vt:i4>
      </vt:variant>
      <vt:variant>
        <vt:lpwstr>http://ppr.det.qld.gov.au/corp/finance/asset/Pages/Equipment-Management-for-Schools.aspx</vt:lpwstr>
      </vt:variant>
      <vt:variant>
        <vt:lpwstr/>
      </vt:variant>
      <vt:variant>
        <vt:i4>6291506</vt:i4>
      </vt:variant>
      <vt:variant>
        <vt:i4>12</vt:i4>
      </vt:variant>
      <vt:variant>
        <vt:i4>0</vt:i4>
      </vt:variant>
      <vt:variant>
        <vt:i4>5</vt:i4>
      </vt:variant>
      <vt:variant>
        <vt:lpwstr>http://ppr.det.qld.gov.au/corp/finance/asset/Pages/Equipment-Management-for-Business-Units.aspx</vt:lpwstr>
      </vt:variant>
      <vt:variant>
        <vt:lpwstr/>
      </vt:variant>
      <vt:variant>
        <vt:i4>262206</vt:i4>
      </vt:variant>
      <vt:variant>
        <vt:i4>9</vt:i4>
      </vt:variant>
      <vt:variant>
        <vt:i4>0</vt:i4>
      </vt:variant>
      <vt:variant>
        <vt:i4>5</vt:i4>
      </vt:variant>
      <vt:variant>
        <vt:lpwstr>https://www.legislation.qld.gov.au/Acts_SLs/Acts_SL_T.htm</vt:lpwstr>
      </vt:variant>
      <vt:variant>
        <vt:lpwstr/>
      </vt:variant>
      <vt:variant>
        <vt:i4>5111839</vt:i4>
      </vt:variant>
      <vt:variant>
        <vt:i4>6</vt:i4>
      </vt:variant>
      <vt:variant>
        <vt:i4>0</vt:i4>
      </vt:variant>
      <vt:variant>
        <vt:i4>5</vt:i4>
      </vt:variant>
      <vt:variant>
        <vt:lpwstr>http://education.qld.gov.au/corporate/codeofconduct/pdfs/det-code-of-conduct-standard-of-practice.pdf</vt:lpwstr>
      </vt:variant>
      <vt:variant>
        <vt:lpwstr/>
      </vt:variant>
      <vt:variant>
        <vt:i4>1572928</vt:i4>
      </vt:variant>
      <vt:variant>
        <vt:i4>3</vt:i4>
      </vt:variant>
      <vt:variant>
        <vt:i4>0</vt:i4>
      </vt:variant>
      <vt:variant>
        <vt:i4>5</vt:i4>
      </vt:variant>
      <vt:variant>
        <vt:lpwstr>http://www.psc.qld.gov.au/library/document/catalogue/equity-ethics-grievance/qps-code-conduct.pdf</vt:lpwstr>
      </vt:variant>
      <vt:variant>
        <vt:lpwstr/>
      </vt:variant>
      <vt:variant>
        <vt:i4>7012385</vt:i4>
      </vt:variant>
      <vt:variant>
        <vt:i4>0</vt:i4>
      </vt:variant>
      <vt:variant>
        <vt:i4>0</vt:i4>
      </vt:variant>
      <vt:variant>
        <vt:i4>5</vt:i4>
      </vt:variant>
      <vt:variant>
        <vt:lpwstr>https://qlddet.service-now.com/sco/</vt:lpwstr>
      </vt:variant>
      <vt:variant>
        <vt:lpwstr/>
      </vt: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mobile devices and services - Conditions of use</dc:title>
  <dc:creator>Brenda.LEE@dete.qld.gov.au</dc:creator>
  <cp:lastModifiedBy>CAMERON, Simone</cp:lastModifiedBy>
  <cp:revision>4</cp:revision>
  <cp:lastPrinted>2019-09-06T02:21:00Z</cp:lastPrinted>
  <dcterms:created xsi:type="dcterms:W3CDTF">2021-02-02T01:22:00Z</dcterms:created>
  <dcterms:modified xsi:type="dcterms:W3CDTF">2021-02-02T02:06:00Z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Subject1">
    <vt:lpwstr>Marketing &amp; communication</vt:lpwstr>
  </property>
  <property fmtid="{D5CDD505-2E9C-101B-9397-08002B2CF9AE}" pid="9" name="Creator and publisher">
    <vt:lpwstr>Department of Education and Training, Queensland</vt:lpwstr>
  </property>
  <property fmtid="{D5CDD505-2E9C-101B-9397-08002B2CF9AE}" pid="10" name="PublishingContact">
    <vt:lpwstr/>
  </property>
  <property fmtid="{D5CDD505-2E9C-101B-9397-08002B2CF9AE}" pid="11" name="Item Description">
    <vt:lpwstr>DETE A4 generic header portrait.
&lt;div&gt;&lt;/div&gt;</vt:lpwstr>
  </property>
  <property fmtid="{D5CDD505-2E9C-101B-9397-08002B2CF9AE}" pid="12" name="Security">
    <vt:lpwstr>Unclassified</vt:lpwstr>
  </property>
  <property fmtid="{D5CDD505-2E9C-101B-9397-08002B2CF9AE}" pid="13" name="ContentTypeId">
    <vt:lpwstr>0x0101002CD7558897FC4235A682984CA042D72E0080A487CF4296A94BBAFF531C206947CC</vt:lpwstr>
  </property>
  <property fmtid="{D5CDD505-2E9C-101B-9397-08002B2CF9AE}" pid="14" name="Order">
    <vt:r8>11100</vt:r8>
  </property>
</Properties>
</file>