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6B63" w14:textId="77777777" w:rsidR="00404BCA" w:rsidRPr="004E27FC" w:rsidRDefault="00C30D1F" w:rsidP="004E27FC">
      <w:pPr>
        <w:pStyle w:val="Heading1"/>
        <w:spacing w:before="480"/>
        <w:rPr>
          <w:sz w:val="44"/>
          <w:szCs w:val="44"/>
        </w:rPr>
      </w:pPr>
      <w:r w:rsidRPr="004E27FC">
        <w:rPr>
          <w:sz w:val="44"/>
          <w:szCs w:val="44"/>
        </w:rPr>
        <w:t>Supporting students’ mental health and wellbeing</w:t>
      </w:r>
    </w:p>
    <w:p w14:paraId="2EFB933A" w14:textId="4A411116" w:rsidR="00404BCA" w:rsidRPr="004E27FC" w:rsidRDefault="009450C6" w:rsidP="004E27FC">
      <w:pPr>
        <w:pStyle w:val="Heading2"/>
        <w:spacing w:before="120"/>
        <w:rPr>
          <w:sz w:val="30"/>
          <w:szCs w:val="30"/>
        </w:rPr>
      </w:pPr>
      <w:r>
        <w:rPr>
          <w:sz w:val="30"/>
          <w:szCs w:val="30"/>
        </w:rPr>
        <w:t xml:space="preserve">Fact </w:t>
      </w:r>
      <w:r w:rsidR="00C856F3">
        <w:rPr>
          <w:szCs w:val="30"/>
        </w:rPr>
        <w:t>s</w:t>
      </w:r>
      <w:r w:rsidRPr="004E27FC">
        <w:rPr>
          <w:szCs w:val="30"/>
        </w:rPr>
        <w:t>heet</w:t>
      </w:r>
      <w:r>
        <w:rPr>
          <w:sz w:val="30"/>
          <w:szCs w:val="30"/>
        </w:rPr>
        <w:t xml:space="preserve"> – </w:t>
      </w:r>
      <w:r w:rsidR="00C30D1F" w:rsidRPr="004E27FC">
        <w:rPr>
          <w:sz w:val="30"/>
          <w:szCs w:val="30"/>
        </w:rPr>
        <w:t xml:space="preserve">Obtaining valid </w:t>
      </w:r>
      <w:r w:rsidR="007F2E0E" w:rsidRPr="004E27FC">
        <w:rPr>
          <w:sz w:val="30"/>
          <w:szCs w:val="30"/>
        </w:rPr>
        <w:t xml:space="preserve">student or parent/carer </w:t>
      </w:r>
      <w:r w:rsidR="00C30D1F" w:rsidRPr="004E27FC">
        <w:rPr>
          <w:sz w:val="30"/>
          <w:szCs w:val="30"/>
        </w:rPr>
        <w:t>consent</w:t>
      </w:r>
    </w:p>
    <w:p w14:paraId="044BDEE2" w14:textId="243E9002" w:rsidR="007F2E0E" w:rsidRDefault="007F2E0E" w:rsidP="00626CF0">
      <w:pPr>
        <w:spacing w:line="300" w:lineRule="exact"/>
        <w:rPr>
          <w:lang w:eastAsia="en-AU"/>
        </w:rPr>
      </w:pPr>
      <w:r>
        <w:rPr>
          <w:lang w:eastAsia="en-AU"/>
        </w:rPr>
        <w:t xml:space="preserve">When supporting the mental health and wellbeing of a student, the nominated officer, case manager, guidance officer or principal may refer the student to an internal or external professional or agency as part of the </w:t>
      </w:r>
      <w:r w:rsidR="005B60B3">
        <w:rPr>
          <w:lang w:eastAsia="en-AU"/>
        </w:rPr>
        <w:t xml:space="preserve">student plan or </w:t>
      </w:r>
      <w:r>
        <w:rPr>
          <w:lang w:eastAsia="en-AU"/>
        </w:rPr>
        <w:t xml:space="preserve">case management </w:t>
      </w:r>
      <w:r w:rsidR="005B60B3">
        <w:rPr>
          <w:lang w:eastAsia="en-AU"/>
        </w:rPr>
        <w:t>process</w:t>
      </w:r>
      <w:r>
        <w:rPr>
          <w:lang w:eastAsia="en-AU"/>
        </w:rPr>
        <w:t>.</w:t>
      </w:r>
    </w:p>
    <w:p w14:paraId="6DB22A2A" w14:textId="3E51C1DE" w:rsidR="007F2E0E" w:rsidRPr="00AB237A" w:rsidRDefault="005B60B3" w:rsidP="00626CF0">
      <w:pPr>
        <w:spacing w:line="300" w:lineRule="exact"/>
        <w:rPr>
          <w:lang w:eastAsia="en-AU"/>
        </w:rPr>
      </w:pPr>
      <w:r w:rsidRPr="00AB237A">
        <w:rPr>
          <w:lang w:eastAsia="en-AU"/>
        </w:rPr>
        <w:t>Prior to</w:t>
      </w:r>
      <w:r w:rsidR="009242F4" w:rsidRPr="00AB237A">
        <w:rPr>
          <w:lang w:eastAsia="en-AU"/>
        </w:rPr>
        <w:t xml:space="preserve"> referral</w:t>
      </w:r>
      <w:r w:rsidR="00922378" w:rsidRPr="00AB237A">
        <w:rPr>
          <w:lang w:eastAsia="en-AU"/>
        </w:rPr>
        <w:t xml:space="preserve">, </w:t>
      </w:r>
      <w:r w:rsidRPr="00AB237A">
        <w:rPr>
          <w:lang w:eastAsia="en-AU"/>
        </w:rPr>
        <w:t xml:space="preserve">valid consent must be obtained from </w:t>
      </w:r>
      <w:r w:rsidR="009242F4" w:rsidRPr="00AB237A">
        <w:rPr>
          <w:lang w:eastAsia="en-AU"/>
        </w:rPr>
        <w:t xml:space="preserve">the student or </w:t>
      </w:r>
      <w:r w:rsidRPr="00AB237A">
        <w:rPr>
          <w:lang w:eastAsia="en-AU"/>
        </w:rPr>
        <w:t xml:space="preserve">the </w:t>
      </w:r>
      <w:r w:rsidR="009242F4" w:rsidRPr="00AB237A">
        <w:rPr>
          <w:lang w:eastAsia="en-AU"/>
        </w:rPr>
        <w:t>parent/carer using the referral form</w:t>
      </w:r>
      <w:r w:rsidRPr="00AB237A">
        <w:rPr>
          <w:lang w:eastAsia="en-AU"/>
        </w:rPr>
        <w:t xml:space="preserve"> (</w:t>
      </w:r>
      <w:hyperlink r:id="rId11" w:history="1">
        <w:r w:rsidRPr="00065751">
          <w:rPr>
            <w:rStyle w:val="Hyperlink"/>
            <w:lang w:eastAsia="en-AU"/>
          </w:rPr>
          <w:t xml:space="preserve">SSMH 1 – Consent </w:t>
        </w:r>
        <w:r w:rsidR="001F1972" w:rsidRPr="00065751">
          <w:rPr>
            <w:rStyle w:val="Hyperlink"/>
            <w:lang w:eastAsia="en-AU"/>
          </w:rPr>
          <w:t>f</w:t>
        </w:r>
        <w:r w:rsidRPr="00065751">
          <w:rPr>
            <w:rStyle w:val="Hyperlink"/>
            <w:lang w:eastAsia="en-AU"/>
          </w:rPr>
          <w:t>orm</w:t>
        </w:r>
      </w:hyperlink>
      <w:r w:rsidRPr="00AB237A">
        <w:rPr>
          <w:lang w:eastAsia="en-AU"/>
        </w:rPr>
        <w:t>)</w:t>
      </w:r>
      <w:r w:rsidR="009242F4" w:rsidRPr="00AB237A">
        <w:rPr>
          <w:lang w:eastAsia="en-AU"/>
        </w:rPr>
        <w:t xml:space="preserve">. </w:t>
      </w:r>
      <w:r w:rsidR="007F2E0E" w:rsidRPr="00AB237A">
        <w:rPr>
          <w:lang w:eastAsia="en-AU"/>
        </w:rPr>
        <w:t xml:space="preserve">Although consent may be given verbally or in writing, in general, it is preferable for consent to be in writing. </w:t>
      </w:r>
    </w:p>
    <w:p w14:paraId="67087196" w14:textId="77777777" w:rsidR="005B60B3" w:rsidRPr="001F1972" w:rsidRDefault="005B60B3" w:rsidP="00626CF0">
      <w:pPr>
        <w:pStyle w:val="Heading3"/>
        <w:spacing w:before="100" w:after="100" w:line="300" w:lineRule="exact"/>
        <w:jc w:val="both"/>
        <w:rPr>
          <w:u w:val="single"/>
          <w:lang w:eastAsia="en-AU"/>
        </w:rPr>
      </w:pPr>
      <w:r w:rsidRPr="004E27FC">
        <w:rPr>
          <w:rFonts w:cstheme="minorBidi"/>
          <w:bCs w:val="0"/>
          <w:sz w:val="22"/>
          <w:szCs w:val="24"/>
          <w:u w:val="single"/>
          <w:lang w:eastAsia="en-AU"/>
        </w:rPr>
        <w:t>Who can give consent</w:t>
      </w:r>
      <w:r w:rsidRPr="001F1972">
        <w:rPr>
          <w:rFonts w:cstheme="minorBidi"/>
          <w:bCs w:val="0"/>
          <w:sz w:val="22"/>
          <w:szCs w:val="24"/>
          <w:u w:val="single"/>
          <w:lang w:eastAsia="en-AU"/>
        </w:rPr>
        <w:t>?</w:t>
      </w:r>
    </w:p>
    <w:p w14:paraId="49FA69B9" w14:textId="7FE9AD4C" w:rsidR="005B60B3" w:rsidRPr="007F2E0E" w:rsidRDefault="00154BF1" w:rsidP="00626CF0">
      <w:pPr>
        <w:pStyle w:val="Heading3"/>
        <w:spacing w:before="100" w:after="100" w:line="300" w:lineRule="exact"/>
        <w:jc w:val="both"/>
        <w:rPr>
          <w:rFonts w:cstheme="minorBidi"/>
          <w:bCs w:val="0"/>
          <w:sz w:val="22"/>
          <w:szCs w:val="24"/>
          <w:lang w:eastAsia="en-AU"/>
        </w:rPr>
      </w:pPr>
      <w:r>
        <w:rPr>
          <w:rFonts w:cstheme="minorBidi"/>
          <w:bCs w:val="0"/>
          <w:sz w:val="22"/>
          <w:szCs w:val="24"/>
          <w:lang w:eastAsia="en-AU"/>
        </w:rPr>
        <w:t>C</w:t>
      </w:r>
      <w:r w:rsidR="005B60B3" w:rsidRPr="007F2E0E">
        <w:rPr>
          <w:rFonts w:cstheme="minorBidi"/>
          <w:bCs w:val="0"/>
          <w:sz w:val="22"/>
          <w:szCs w:val="24"/>
          <w:lang w:eastAsia="en-AU"/>
        </w:rPr>
        <w:t xml:space="preserve">onsent must be provided by an individual who has the capacity to give consent. An individual may be deemed to have capacity to consent when they are able to understand the general nature and effect of the consent and can communicate their consent or refusal to consent. </w:t>
      </w:r>
    </w:p>
    <w:p w14:paraId="26B6BD11" w14:textId="77777777" w:rsidR="005B60B3" w:rsidRPr="001F1972" w:rsidRDefault="005B60B3" w:rsidP="00626CF0">
      <w:pPr>
        <w:pStyle w:val="Heading3"/>
        <w:spacing w:before="100" w:after="100" w:line="300" w:lineRule="exact"/>
        <w:jc w:val="both"/>
        <w:rPr>
          <w:rFonts w:cstheme="minorBidi"/>
          <w:bCs w:val="0"/>
          <w:sz w:val="22"/>
          <w:szCs w:val="24"/>
          <w:lang w:eastAsia="en-AU"/>
        </w:rPr>
      </w:pPr>
      <w:r w:rsidRPr="001F1972">
        <w:rPr>
          <w:rFonts w:cstheme="minorBidi"/>
          <w:bCs w:val="0"/>
          <w:sz w:val="22"/>
          <w:szCs w:val="24"/>
          <w:lang w:eastAsia="en-AU"/>
        </w:rPr>
        <w:t>An individual aged 16 years or over is presumed capable of giving consent unless found to be incapable by reason of: maturity, injury, disease or illness, cognitive or physical impairment, mental disorder, any disability, or any other circumstance. Young people under 16 years can be competent to provide informed consent without parent/carer permission or knowledge under certain circumstances.</w:t>
      </w:r>
    </w:p>
    <w:p w14:paraId="4B800D5E" w14:textId="77777777" w:rsidR="005B60B3" w:rsidRPr="004E27FC" w:rsidRDefault="005B60B3" w:rsidP="00626CF0">
      <w:pPr>
        <w:pStyle w:val="Heading3"/>
        <w:spacing w:before="100" w:after="100" w:line="300" w:lineRule="exact"/>
        <w:jc w:val="both"/>
        <w:rPr>
          <w:u w:val="single"/>
          <w:lang w:eastAsia="en-AU"/>
        </w:rPr>
      </w:pPr>
      <w:r w:rsidRPr="001F1972">
        <w:rPr>
          <w:rFonts w:cstheme="minorBidi"/>
          <w:bCs w:val="0"/>
          <w:sz w:val="22"/>
          <w:szCs w:val="24"/>
          <w:u w:val="single"/>
          <w:lang w:eastAsia="en-AU"/>
        </w:rPr>
        <w:t>Conditions for consent</w:t>
      </w:r>
    </w:p>
    <w:p w14:paraId="0A8DA0F9" w14:textId="77777777" w:rsidR="007F2E0E" w:rsidRPr="007F2E0E" w:rsidRDefault="007F2E0E" w:rsidP="00626CF0">
      <w:pPr>
        <w:pStyle w:val="Heading3"/>
        <w:spacing w:before="100" w:after="100" w:line="300" w:lineRule="exact"/>
        <w:jc w:val="both"/>
        <w:rPr>
          <w:rFonts w:cstheme="minorBidi"/>
          <w:bCs w:val="0"/>
          <w:sz w:val="22"/>
          <w:szCs w:val="24"/>
          <w:lang w:eastAsia="en-AU"/>
        </w:rPr>
      </w:pPr>
      <w:r w:rsidRPr="007F2E0E">
        <w:rPr>
          <w:rFonts w:cstheme="minorBidi"/>
          <w:bCs w:val="0"/>
          <w:sz w:val="22"/>
          <w:szCs w:val="24"/>
          <w:lang w:eastAsia="en-AU"/>
        </w:rPr>
        <w:t xml:space="preserve">For consent to be valid, it must be: voluntary, informed, specific and current.  </w:t>
      </w:r>
    </w:p>
    <w:p w14:paraId="7665316B" w14:textId="77777777" w:rsidR="007F2E0E" w:rsidRPr="007F2E0E" w:rsidRDefault="007F2E0E" w:rsidP="00626CF0">
      <w:pPr>
        <w:pStyle w:val="Heading3"/>
        <w:numPr>
          <w:ilvl w:val="0"/>
          <w:numId w:val="4"/>
        </w:numPr>
        <w:spacing w:before="60" w:after="40" w:line="300" w:lineRule="exact"/>
        <w:ind w:left="284" w:hanging="284"/>
        <w:jc w:val="both"/>
        <w:rPr>
          <w:rFonts w:cstheme="minorBidi"/>
          <w:bCs w:val="0"/>
          <w:sz w:val="22"/>
          <w:szCs w:val="24"/>
          <w:lang w:eastAsia="en-AU"/>
        </w:rPr>
      </w:pPr>
      <w:r w:rsidRPr="007F2E0E">
        <w:rPr>
          <w:rFonts w:cstheme="minorBidi"/>
          <w:b/>
          <w:bCs w:val="0"/>
          <w:sz w:val="22"/>
          <w:szCs w:val="24"/>
          <w:lang w:eastAsia="en-AU"/>
        </w:rPr>
        <w:t>Voluntary consent</w:t>
      </w:r>
      <w:r>
        <w:rPr>
          <w:rFonts w:cstheme="minorBidi"/>
          <w:bCs w:val="0"/>
          <w:sz w:val="22"/>
          <w:szCs w:val="24"/>
          <w:lang w:eastAsia="en-AU"/>
        </w:rPr>
        <w:t xml:space="preserve"> </w:t>
      </w:r>
      <w:r w:rsidRPr="007F2E0E">
        <w:rPr>
          <w:rFonts w:cstheme="minorBidi"/>
          <w:bCs w:val="0"/>
          <w:sz w:val="22"/>
          <w:szCs w:val="24"/>
          <w:lang w:eastAsia="en-AU"/>
        </w:rPr>
        <w:t>means the person’s agreement is given freely and is not based on the person being tricked, forced or threatened.</w:t>
      </w:r>
    </w:p>
    <w:p w14:paraId="2325C238" w14:textId="77777777" w:rsidR="007F2E0E" w:rsidRPr="007F2E0E" w:rsidRDefault="007F2E0E" w:rsidP="00626CF0">
      <w:pPr>
        <w:pStyle w:val="Heading3"/>
        <w:numPr>
          <w:ilvl w:val="0"/>
          <w:numId w:val="4"/>
        </w:numPr>
        <w:spacing w:before="60" w:after="40" w:line="300" w:lineRule="exact"/>
        <w:ind w:left="284" w:hanging="284"/>
        <w:jc w:val="both"/>
        <w:rPr>
          <w:rFonts w:cstheme="minorBidi"/>
          <w:bCs w:val="0"/>
          <w:sz w:val="22"/>
          <w:szCs w:val="24"/>
          <w:lang w:eastAsia="en-AU"/>
        </w:rPr>
      </w:pPr>
      <w:r w:rsidRPr="007F2E0E">
        <w:rPr>
          <w:rFonts w:cstheme="minorBidi"/>
          <w:b/>
          <w:bCs w:val="0"/>
          <w:sz w:val="22"/>
          <w:szCs w:val="24"/>
          <w:lang w:eastAsia="en-AU"/>
        </w:rPr>
        <w:t>Informed consent</w:t>
      </w:r>
      <w:r w:rsidRPr="007F2E0E">
        <w:rPr>
          <w:rFonts w:cstheme="minorBidi"/>
          <w:bCs w:val="0"/>
          <w:sz w:val="22"/>
          <w:szCs w:val="24"/>
          <w:lang w:eastAsia="en-AU"/>
        </w:rPr>
        <w:t xml:space="preserve"> means the individual has been given enough information to understand: </w:t>
      </w:r>
    </w:p>
    <w:p w14:paraId="7A98AAFE" w14:textId="77777777" w:rsidR="007F2E0E" w:rsidRPr="007F2E0E" w:rsidRDefault="007F2E0E" w:rsidP="00626CF0">
      <w:pPr>
        <w:pStyle w:val="Heading3"/>
        <w:numPr>
          <w:ilvl w:val="1"/>
          <w:numId w:val="6"/>
        </w:numPr>
        <w:spacing w:before="60" w:after="40" w:line="300" w:lineRule="exact"/>
        <w:ind w:left="709" w:hanging="283"/>
        <w:jc w:val="both"/>
        <w:rPr>
          <w:rFonts w:cstheme="minorBidi"/>
          <w:bCs w:val="0"/>
          <w:sz w:val="22"/>
          <w:szCs w:val="24"/>
          <w:lang w:eastAsia="en-AU"/>
        </w:rPr>
      </w:pPr>
      <w:r w:rsidRPr="007F2E0E">
        <w:rPr>
          <w:rFonts w:cstheme="minorBidi"/>
          <w:bCs w:val="0"/>
          <w:sz w:val="22"/>
          <w:szCs w:val="24"/>
          <w:lang w:eastAsia="en-AU"/>
        </w:rPr>
        <w:t>the information to be collect</w:t>
      </w:r>
      <w:r w:rsidR="009242F4">
        <w:rPr>
          <w:rFonts w:cstheme="minorBidi"/>
          <w:bCs w:val="0"/>
          <w:sz w:val="22"/>
          <w:szCs w:val="24"/>
          <w:lang w:eastAsia="en-AU"/>
        </w:rPr>
        <w:t>ed/shared or action to be taken</w:t>
      </w:r>
      <w:r w:rsidRPr="007F2E0E">
        <w:rPr>
          <w:rFonts w:cstheme="minorBidi"/>
          <w:bCs w:val="0"/>
          <w:sz w:val="22"/>
          <w:szCs w:val="24"/>
          <w:lang w:eastAsia="en-AU"/>
        </w:rPr>
        <w:t xml:space="preserve"> </w:t>
      </w:r>
    </w:p>
    <w:p w14:paraId="4DE4CB82" w14:textId="77777777" w:rsidR="007F2E0E" w:rsidRPr="007F2E0E" w:rsidRDefault="007F2E0E" w:rsidP="00626CF0">
      <w:pPr>
        <w:pStyle w:val="Heading3"/>
        <w:numPr>
          <w:ilvl w:val="1"/>
          <w:numId w:val="6"/>
        </w:numPr>
        <w:spacing w:before="60" w:after="40" w:line="300" w:lineRule="exact"/>
        <w:ind w:left="709" w:hanging="283"/>
        <w:jc w:val="both"/>
        <w:rPr>
          <w:rFonts w:cstheme="minorBidi"/>
          <w:bCs w:val="0"/>
          <w:sz w:val="22"/>
          <w:szCs w:val="24"/>
          <w:lang w:eastAsia="en-AU"/>
        </w:rPr>
      </w:pPr>
      <w:r w:rsidRPr="007F2E0E">
        <w:rPr>
          <w:rFonts w:cstheme="minorBidi"/>
          <w:bCs w:val="0"/>
          <w:sz w:val="22"/>
          <w:szCs w:val="24"/>
          <w:lang w:eastAsia="en-AU"/>
        </w:rPr>
        <w:t>the purpose of th</w:t>
      </w:r>
      <w:r w:rsidR="009242F4">
        <w:rPr>
          <w:rFonts w:cstheme="minorBidi"/>
          <w:bCs w:val="0"/>
          <w:sz w:val="22"/>
          <w:szCs w:val="24"/>
          <w:lang w:eastAsia="en-AU"/>
        </w:rPr>
        <w:t>e information s</w:t>
      </w:r>
      <w:r w:rsidR="009242F4">
        <w:rPr>
          <w:rFonts w:cstheme="minorBidi"/>
          <w:bCs w:val="0"/>
          <w:sz w:val="22"/>
          <w:szCs w:val="24"/>
          <w:lang w:eastAsia="en-AU"/>
        </w:rPr>
        <w:softHyphen/>
        <w:t>haring or action</w:t>
      </w:r>
      <w:r w:rsidRPr="007F2E0E">
        <w:rPr>
          <w:rFonts w:cstheme="minorBidi"/>
          <w:bCs w:val="0"/>
          <w:sz w:val="22"/>
          <w:szCs w:val="24"/>
          <w:lang w:eastAsia="en-AU"/>
        </w:rPr>
        <w:t xml:space="preserve"> </w:t>
      </w:r>
    </w:p>
    <w:p w14:paraId="5D60102B" w14:textId="77777777" w:rsidR="007F2E0E" w:rsidRPr="007F2E0E" w:rsidRDefault="007F2E0E" w:rsidP="00626CF0">
      <w:pPr>
        <w:pStyle w:val="Heading3"/>
        <w:numPr>
          <w:ilvl w:val="1"/>
          <w:numId w:val="6"/>
        </w:numPr>
        <w:spacing w:before="60" w:after="40" w:line="300" w:lineRule="exact"/>
        <w:ind w:left="709" w:hanging="283"/>
        <w:jc w:val="both"/>
        <w:rPr>
          <w:rFonts w:cstheme="minorBidi"/>
          <w:bCs w:val="0"/>
          <w:sz w:val="22"/>
          <w:szCs w:val="24"/>
          <w:lang w:eastAsia="en-AU"/>
        </w:rPr>
      </w:pPr>
      <w:r w:rsidRPr="007F2E0E">
        <w:rPr>
          <w:rFonts w:cstheme="minorBidi"/>
          <w:bCs w:val="0"/>
          <w:sz w:val="22"/>
          <w:szCs w:val="24"/>
          <w:lang w:eastAsia="en-AU"/>
        </w:rPr>
        <w:t>who else will have access to the informati</w:t>
      </w:r>
      <w:r w:rsidR="009242F4">
        <w:rPr>
          <w:rFonts w:cstheme="minorBidi"/>
          <w:bCs w:val="0"/>
          <w:sz w:val="22"/>
          <w:szCs w:val="24"/>
          <w:lang w:eastAsia="en-AU"/>
        </w:rPr>
        <w:t>on or be involved in the action</w:t>
      </w:r>
      <w:r w:rsidRPr="007F2E0E">
        <w:rPr>
          <w:rFonts w:cstheme="minorBidi"/>
          <w:bCs w:val="0"/>
          <w:sz w:val="22"/>
          <w:szCs w:val="24"/>
          <w:lang w:eastAsia="en-AU"/>
        </w:rPr>
        <w:t xml:space="preserve"> and </w:t>
      </w:r>
    </w:p>
    <w:p w14:paraId="49592893" w14:textId="77777777" w:rsidR="007F2E0E" w:rsidRPr="007F2E0E" w:rsidRDefault="007F2E0E" w:rsidP="00626CF0">
      <w:pPr>
        <w:pStyle w:val="Heading3"/>
        <w:numPr>
          <w:ilvl w:val="1"/>
          <w:numId w:val="6"/>
        </w:numPr>
        <w:spacing w:before="60" w:after="40" w:line="300" w:lineRule="exact"/>
        <w:ind w:left="709" w:hanging="283"/>
        <w:jc w:val="both"/>
        <w:rPr>
          <w:rFonts w:cstheme="minorBidi"/>
          <w:bCs w:val="0"/>
          <w:sz w:val="22"/>
          <w:szCs w:val="24"/>
          <w:lang w:eastAsia="en-AU"/>
        </w:rPr>
      </w:pPr>
      <w:r w:rsidRPr="007F2E0E">
        <w:rPr>
          <w:rFonts w:cstheme="minorBidi"/>
          <w:bCs w:val="0"/>
          <w:sz w:val="22"/>
          <w:szCs w:val="24"/>
          <w:lang w:eastAsia="en-AU"/>
        </w:rPr>
        <w:t>the consequences of giving or not giving agreement to the proposed information sharing or action.</w:t>
      </w:r>
    </w:p>
    <w:p w14:paraId="7C7658E7" w14:textId="42AA47E7" w:rsidR="007F2E0E" w:rsidRPr="00922378" w:rsidRDefault="007F2E0E" w:rsidP="00626CF0">
      <w:pPr>
        <w:pStyle w:val="Heading3"/>
        <w:numPr>
          <w:ilvl w:val="0"/>
          <w:numId w:val="4"/>
        </w:numPr>
        <w:spacing w:before="60" w:after="40" w:line="300" w:lineRule="exact"/>
        <w:ind w:left="284" w:hanging="284"/>
        <w:jc w:val="both"/>
        <w:rPr>
          <w:rFonts w:cstheme="minorBidi"/>
          <w:bCs w:val="0"/>
          <w:sz w:val="22"/>
          <w:szCs w:val="24"/>
          <w:lang w:eastAsia="en-AU"/>
        </w:rPr>
      </w:pPr>
      <w:r w:rsidRPr="00922378">
        <w:rPr>
          <w:rFonts w:cstheme="minorBidi"/>
          <w:b/>
          <w:bCs w:val="0"/>
          <w:sz w:val="22"/>
          <w:szCs w:val="24"/>
          <w:lang w:eastAsia="en-AU"/>
        </w:rPr>
        <w:t>Specific consent</w:t>
      </w:r>
      <w:r w:rsidRPr="00922378">
        <w:rPr>
          <w:rFonts w:cstheme="minorBidi"/>
          <w:bCs w:val="0"/>
          <w:sz w:val="22"/>
          <w:szCs w:val="24"/>
          <w:lang w:eastAsia="en-AU"/>
        </w:rPr>
        <w:t xml:space="preserve"> means the individual is given precise information</w:t>
      </w:r>
      <w:r w:rsidR="00EF2489">
        <w:rPr>
          <w:rFonts w:cstheme="minorBidi"/>
          <w:bCs w:val="0"/>
          <w:sz w:val="22"/>
          <w:szCs w:val="24"/>
          <w:lang w:eastAsia="en-AU"/>
        </w:rPr>
        <w:t>,</w:t>
      </w:r>
      <w:r w:rsidRPr="00922378">
        <w:rPr>
          <w:rFonts w:cstheme="minorBidi"/>
          <w:bCs w:val="0"/>
          <w:sz w:val="22"/>
          <w:szCs w:val="24"/>
          <w:lang w:eastAsia="en-AU"/>
        </w:rPr>
        <w:t xml:space="preserve"> </w:t>
      </w:r>
      <w:r w:rsidR="00EF2489">
        <w:rPr>
          <w:rFonts w:cstheme="minorBidi"/>
          <w:bCs w:val="0"/>
          <w:sz w:val="22"/>
          <w:szCs w:val="24"/>
          <w:lang w:eastAsia="en-AU"/>
        </w:rPr>
        <w:t>rather than</w:t>
      </w:r>
      <w:r w:rsidRPr="00922378">
        <w:rPr>
          <w:rFonts w:cstheme="minorBidi"/>
          <w:bCs w:val="0"/>
          <w:sz w:val="22"/>
          <w:szCs w:val="24"/>
          <w:lang w:eastAsia="en-AU"/>
        </w:rPr>
        <w:t xml:space="preserve"> broad statements about the nature and type of consent being provided.  </w:t>
      </w:r>
    </w:p>
    <w:p w14:paraId="633D9D63" w14:textId="1995362C" w:rsidR="007F2E0E" w:rsidRDefault="007F2E0E" w:rsidP="00626CF0">
      <w:pPr>
        <w:pStyle w:val="Heading3"/>
        <w:numPr>
          <w:ilvl w:val="0"/>
          <w:numId w:val="4"/>
        </w:numPr>
        <w:spacing w:before="60" w:after="40" w:line="300" w:lineRule="exact"/>
        <w:ind w:left="284" w:hanging="284"/>
        <w:jc w:val="both"/>
        <w:rPr>
          <w:rFonts w:cstheme="minorBidi"/>
          <w:bCs w:val="0"/>
          <w:sz w:val="22"/>
          <w:szCs w:val="24"/>
          <w:lang w:eastAsia="en-AU"/>
        </w:rPr>
      </w:pPr>
      <w:r w:rsidRPr="00922378">
        <w:rPr>
          <w:rFonts w:cstheme="minorBidi"/>
          <w:b/>
          <w:bCs w:val="0"/>
          <w:sz w:val="22"/>
          <w:szCs w:val="24"/>
          <w:lang w:eastAsia="en-AU"/>
        </w:rPr>
        <w:t>Current consent</w:t>
      </w:r>
      <w:r w:rsidRPr="00922378">
        <w:rPr>
          <w:rFonts w:cstheme="minorBidi"/>
          <w:bCs w:val="0"/>
          <w:sz w:val="22"/>
          <w:szCs w:val="24"/>
          <w:lang w:eastAsia="en-AU"/>
        </w:rPr>
        <w:t xml:space="preserve"> means agreement is relevant to the particular time and circumstances.</w:t>
      </w:r>
      <w:r w:rsidR="00EF2489">
        <w:rPr>
          <w:rFonts w:cstheme="minorBidi"/>
          <w:bCs w:val="0"/>
          <w:sz w:val="22"/>
          <w:szCs w:val="24"/>
          <w:lang w:eastAsia="en-AU"/>
        </w:rPr>
        <w:t xml:space="preserve"> </w:t>
      </w:r>
      <w:r w:rsidRPr="00922378">
        <w:rPr>
          <w:rFonts w:cstheme="minorBidi"/>
          <w:bCs w:val="0"/>
          <w:sz w:val="22"/>
          <w:szCs w:val="24"/>
          <w:lang w:eastAsia="en-AU"/>
        </w:rPr>
        <w:t>The individual should be informed about the period for which the consent will be valid.</w:t>
      </w:r>
    </w:p>
    <w:p w14:paraId="4DCBC863" w14:textId="77777777" w:rsidR="005B60B3" w:rsidRPr="004E27FC" w:rsidRDefault="005B60B3" w:rsidP="00626CF0">
      <w:pPr>
        <w:spacing w:before="100" w:after="100" w:line="300" w:lineRule="exact"/>
        <w:rPr>
          <w:bCs/>
          <w:u w:val="single"/>
          <w:lang w:eastAsia="en-AU"/>
        </w:rPr>
      </w:pPr>
      <w:r>
        <w:rPr>
          <w:u w:val="single"/>
          <w:lang w:eastAsia="en-AU"/>
        </w:rPr>
        <w:t>If consent cannot be provided</w:t>
      </w:r>
    </w:p>
    <w:p w14:paraId="2B53F1CD" w14:textId="77777777" w:rsidR="007F2E0E" w:rsidRPr="007F2E0E" w:rsidRDefault="007F2E0E" w:rsidP="00626CF0">
      <w:pPr>
        <w:pStyle w:val="Heading3"/>
        <w:spacing w:before="100" w:after="100" w:line="300" w:lineRule="exact"/>
        <w:jc w:val="both"/>
        <w:rPr>
          <w:rFonts w:cstheme="minorBidi"/>
          <w:bCs w:val="0"/>
          <w:sz w:val="22"/>
          <w:szCs w:val="24"/>
          <w:lang w:eastAsia="en-AU"/>
        </w:rPr>
      </w:pPr>
      <w:r w:rsidRPr="007F2E0E">
        <w:rPr>
          <w:rFonts w:cstheme="minorBidi"/>
          <w:bCs w:val="0"/>
          <w:sz w:val="22"/>
          <w:szCs w:val="24"/>
          <w:lang w:eastAsia="en-AU"/>
        </w:rPr>
        <w:t>When valid consent has not been provided, the nominated officer, case manager or principal should:</w:t>
      </w:r>
    </w:p>
    <w:p w14:paraId="50416AA0" w14:textId="3D3965DD" w:rsidR="00EF2489" w:rsidRPr="00EF2489" w:rsidRDefault="007F2E0E" w:rsidP="00626CF0">
      <w:pPr>
        <w:pStyle w:val="Heading3"/>
        <w:numPr>
          <w:ilvl w:val="0"/>
          <w:numId w:val="4"/>
        </w:numPr>
        <w:spacing w:before="100" w:after="100" w:line="300" w:lineRule="exact"/>
        <w:ind w:left="284" w:hanging="284"/>
        <w:jc w:val="both"/>
        <w:rPr>
          <w:rFonts w:cstheme="minorBidi"/>
          <w:bCs w:val="0"/>
          <w:sz w:val="22"/>
          <w:szCs w:val="24"/>
          <w:lang w:eastAsia="en-AU"/>
        </w:rPr>
      </w:pPr>
      <w:r w:rsidRPr="00922378">
        <w:rPr>
          <w:rFonts w:cstheme="minorBidi"/>
          <w:bCs w:val="0"/>
          <w:sz w:val="22"/>
          <w:szCs w:val="24"/>
          <w:lang w:eastAsia="en-AU"/>
        </w:rPr>
        <w:t xml:space="preserve">provide information about the implications of the refusal and document this discussion in the </w:t>
      </w:r>
      <w:r w:rsidR="00826EA1">
        <w:rPr>
          <w:bCs w:val="0"/>
          <w:i/>
          <w:sz w:val="22"/>
          <w:szCs w:val="22"/>
          <w:lang w:eastAsia="en-AU"/>
        </w:rPr>
        <w:t>s</w:t>
      </w:r>
      <w:r w:rsidRPr="004E27FC">
        <w:rPr>
          <w:bCs w:val="0"/>
          <w:i/>
          <w:sz w:val="22"/>
          <w:szCs w:val="22"/>
          <w:lang w:eastAsia="en-AU"/>
        </w:rPr>
        <w:t>tudent plan</w:t>
      </w:r>
    </w:p>
    <w:p w14:paraId="1F66EAA5" w14:textId="77777777" w:rsidR="00EF2489" w:rsidRDefault="00EF2489" w:rsidP="00626CF0">
      <w:pPr>
        <w:pStyle w:val="Heading3"/>
        <w:spacing w:before="100" w:after="100" w:line="300" w:lineRule="exact"/>
        <w:jc w:val="both"/>
        <w:rPr>
          <w:rFonts w:cstheme="minorBidi"/>
          <w:bCs w:val="0"/>
          <w:sz w:val="22"/>
          <w:szCs w:val="24"/>
          <w:lang w:eastAsia="en-AU"/>
        </w:rPr>
      </w:pPr>
    </w:p>
    <w:p w14:paraId="20A67AB5" w14:textId="77777777" w:rsidR="00EF2489" w:rsidRDefault="00EF2489" w:rsidP="00626CF0">
      <w:pPr>
        <w:pStyle w:val="Heading3"/>
        <w:spacing w:after="100" w:line="300" w:lineRule="exact"/>
        <w:ind w:left="284"/>
        <w:jc w:val="both"/>
        <w:rPr>
          <w:rFonts w:cstheme="minorBidi"/>
          <w:bCs w:val="0"/>
          <w:sz w:val="22"/>
          <w:szCs w:val="24"/>
          <w:lang w:eastAsia="en-AU"/>
        </w:rPr>
      </w:pPr>
    </w:p>
    <w:p w14:paraId="502C4583" w14:textId="10B84F38" w:rsidR="00EF2489" w:rsidRPr="00065751" w:rsidRDefault="007F2E0E" w:rsidP="00626CF0">
      <w:pPr>
        <w:pStyle w:val="Heading3"/>
        <w:numPr>
          <w:ilvl w:val="0"/>
          <w:numId w:val="4"/>
        </w:numPr>
        <w:spacing w:after="40" w:line="300" w:lineRule="exact"/>
        <w:ind w:left="284" w:hanging="284"/>
        <w:jc w:val="both"/>
        <w:rPr>
          <w:rFonts w:cstheme="minorBidi"/>
          <w:bCs w:val="0"/>
          <w:sz w:val="22"/>
          <w:szCs w:val="24"/>
          <w:lang w:eastAsia="en-AU"/>
        </w:rPr>
      </w:pPr>
      <w:r w:rsidRPr="00922378">
        <w:rPr>
          <w:rFonts w:cstheme="minorBidi"/>
          <w:bCs w:val="0"/>
          <w:sz w:val="22"/>
          <w:szCs w:val="24"/>
          <w:lang w:eastAsia="en-AU"/>
        </w:rPr>
        <w:t xml:space="preserve">when the student may be at risk of harm or be a risk to others, refer to the </w:t>
      </w:r>
      <w:hyperlink r:id="rId12" w:history="1">
        <w:r w:rsidR="00826EA1" w:rsidRPr="00065751">
          <w:rPr>
            <w:rStyle w:val="Hyperlink"/>
            <w:bCs w:val="0"/>
            <w:i/>
            <w:sz w:val="22"/>
            <w:lang w:eastAsia="en-AU"/>
          </w:rPr>
          <w:t>Student protection</w:t>
        </w:r>
      </w:hyperlink>
      <w:bookmarkStart w:id="0" w:name="_GoBack"/>
      <w:bookmarkEnd w:id="0"/>
      <w:r w:rsidR="00826EA1">
        <w:rPr>
          <w:rStyle w:val="Hyperlink"/>
          <w:rFonts w:cstheme="minorBidi"/>
          <w:bCs w:val="0"/>
          <w:i/>
          <w:sz w:val="22"/>
          <w:szCs w:val="24"/>
          <w:lang w:eastAsia="en-AU"/>
        </w:rPr>
        <w:t xml:space="preserve"> </w:t>
      </w:r>
      <w:r w:rsidR="00826EA1" w:rsidRPr="00A07CCD">
        <w:rPr>
          <w:rStyle w:val="Hyperlink"/>
          <w:rFonts w:cstheme="minorBidi"/>
          <w:bCs w:val="0"/>
          <w:color w:val="auto"/>
          <w:sz w:val="22"/>
          <w:szCs w:val="24"/>
          <w:u w:val="none"/>
          <w:lang w:eastAsia="en-AU"/>
        </w:rPr>
        <w:t>procedure</w:t>
      </w:r>
    </w:p>
    <w:p w14:paraId="76C1947D" w14:textId="77F215B2" w:rsidR="007F2E0E" w:rsidRPr="00922378" w:rsidRDefault="007F2E0E" w:rsidP="00626CF0">
      <w:pPr>
        <w:pStyle w:val="Heading3"/>
        <w:numPr>
          <w:ilvl w:val="0"/>
          <w:numId w:val="4"/>
        </w:numPr>
        <w:spacing w:before="40" w:after="100" w:line="300" w:lineRule="exact"/>
        <w:ind w:left="284" w:hanging="284"/>
        <w:jc w:val="both"/>
        <w:rPr>
          <w:rFonts w:cstheme="minorBidi"/>
          <w:bCs w:val="0"/>
          <w:sz w:val="22"/>
          <w:szCs w:val="24"/>
          <w:lang w:eastAsia="en-AU"/>
        </w:rPr>
      </w:pPr>
      <w:r w:rsidRPr="00922378">
        <w:rPr>
          <w:rFonts w:cstheme="minorBidi"/>
          <w:bCs w:val="0"/>
          <w:sz w:val="22"/>
          <w:szCs w:val="24"/>
          <w:lang w:eastAsia="en-AU"/>
        </w:rPr>
        <w:t xml:space="preserve">not disclose a student’s personal information unless permitted under section 426(4) of the </w:t>
      </w:r>
      <w:hyperlink r:id="rId13" w:history="1">
        <w:r w:rsidRPr="00C856F3">
          <w:rPr>
            <w:rStyle w:val="Hyperlink"/>
            <w:rFonts w:cstheme="minorBidi"/>
            <w:bCs w:val="0"/>
            <w:i/>
            <w:sz w:val="22"/>
            <w:szCs w:val="24"/>
            <w:lang w:eastAsia="en-AU"/>
          </w:rPr>
          <w:t>Education (General Provisions) Act 2006</w:t>
        </w:r>
      </w:hyperlink>
      <w:r w:rsidRPr="00922378">
        <w:rPr>
          <w:rFonts w:cstheme="minorBidi"/>
          <w:bCs w:val="0"/>
          <w:sz w:val="22"/>
          <w:szCs w:val="24"/>
          <w:lang w:eastAsia="en-AU"/>
        </w:rPr>
        <w:t xml:space="preserve"> or requested via a subpoena.</w:t>
      </w:r>
      <w:r w:rsidR="00826EA1">
        <w:rPr>
          <w:rFonts w:cstheme="minorBidi"/>
          <w:bCs w:val="0"/>
          <w:sz w:val="22"/>
          <w:szCs w:val="24"/>
          <w:lang w:eastAsia="en-AU"/>
        </w:rPr>
        <w:t xml:space="preserve"> </w:t>
      </w:r>
    </w:p>
    <w:sectPr w:rsidR="007F2E0E" w:rsidRPr="00922378" w:rsidSect="00065751">
      <w:headerReference w:type="default" r:id="rId14"/>
      <w:footerReference w:type="default" r:id="rId15"/>
      <w:pgSz w:w="11900" w:h="16840" w:code="9"/>
      <w:pgMar w:top="1440" w:right="1080" w:bottom="1440" w:left="1080" w:header="624"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5A8C5" w14:textId="77777777" w:rsidR="00BF32AD" w:rsidRDefault="00BF32AD" w:rsidP="00190C24">
      <w:r>
        <w:separator/>
      </w:r>
    </w:p>
  </w:endnote>
  <w:endnote w:type="continuationSeparator" w:id="0">
    <w:p w14:paraId="0512FACF" w14:textId="77777777" w:rsidR="00BF32AD" w:rsidRDefault="00BF32A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2858E" w14:textId="38080371" w:rsidR="002712BD" w:rsidRPr="00065751" w:rsidRDefault="00C856F3" w:rsidP="00682999">
    <w:pPr>
      <w:spacing w:after="80" w:line="240" w:lineRule="auto"/>
      <w:rPr>
        <w:sz w:val="16"/>
      </w:rPr>
    </w:pPr>
    <w:r>
      <w:rPr>
        <w:noProof/>
        <w:lang w:eastAsia="zh-TW"/>
      </w:rPr>
      <w:drawing>
        <wp:anchor distT="0" distB="0" distL="114300" distR="114300" simplePos="0" relativeHeight="251661312" behindDoc="1" locked="0" layoutInCell="1" allowOverlap="1" wp14:anchorId="11CA7E7D" wp14:editId="3C55ED86">
          <wp:simplePos x="0" y="0"/>
          <wp:positionH relativeFrom="column">
            <wp:posOffset>4377690</wp:posOffset>
          </wp:positionH>
          <wp:positionV relativeFrom="paragraph">
            <wp:posOffset>-34925</wp:posOffset>
          </wp:positionV>
          <wp:extent cx="1651635" cy="539115"/>
          <wp:effectExtent l="0" t="0" r="5715" b="0"/>
          <wp:wrapTight wrapText="bothSides">
            <wp:wrapPolygon edited="0">
              <wp:start x="0" y="0"/>
              <wp:lineTo x="0" y="20608"/>
              <wp:lineTo x="21426" y="20608"/>
              <wp:lineTo x="214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r>
      <w:rPr>
        <w:sz w:val="16"/>
      </w:rPr>
      <w:br/>
    </w:r>
    <w:hyperlink r:id="rId2" w:history="1">
      <w:r w:rsidR="00EE30C5" w:rsidRPr="00EE30C5">
        <w:rPr>
          <w:rFonts w:cs="Arial"/>
          <w:color w:val="0000CC"/>
          <w:sz w:val="16"/>
          <w:szCs w:val="18"/>
          <w:u w:val="single"/>
        </w:rPr>
        <w:t>https://ppr.qed.qld.gov.au/pp/supporting-students-mental-health-and-wellbeing-procedure</w:t>
      </w:r>
    </w:hyperlink>
    <w:r w:rsidRPr="005E6DDA">
      <w:rPr>
        <w:sz w:val="16"/>
      </w:rPr>
      <w:t xml:space="preserve"> to ensure you have the most current version of this document. </w:t>
    </w:r>
    <w:r w:rsidR="00682999">
      <w:rPr>
        <w:sz w:val="16"/>
      </w:rPr>
      <w:t xml:space="preserve">                           </w:t>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682999">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682999">
      <w:rPr>
        <w:b/>
        <w:bCs/>
        <w:noProof/>
        <w:sz w:val="16"/>
      </w:rPr>
      <w:t>2</w:t>
    </w:r>
    <w:r w:rsidRPr="005E6DDA">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0C07" w14:textId="77777777" w:rsidR="00BF32AD" w:rsidRDefault="00BF32AD" w:rsidP="00190C24">
      <w:r>
        <w:separator/>
      </w:r>
    </w:p>
  </w:footnote>
  <w:footnote w:type="continuationSeparator" w:id="0">
    <w:p w14:paraId="4CDA6ECD" w14:textId="77777777" w:rsidR="00BF32AD" w:rsidRDefault="00BF32A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C15D" w14:textId="77777777" w:rsidR="00D01CD2" w:rsidRDefault="002F78A2" w:rsidP="00190C24">
    <w:pPr>
      <w:pStyle w:val="Header"/>
    </w:pPr>
    <w:r>
      <w:rPr>
        <w:noProof/>
        <w:lang w:eastAsia="zh-TW"/>
      </w:rPr>
      <w:drawing>
        <wp:anchor distT="0" distB="0" distL="114300" distR="114300" simplePos="0" relativeHeight="251658240" behindDoc="1" locked="1" layoutInCell="1" allowOverlap="1" wp14:anchorId="7DE20313" wp14:editId="629CF5CC">
          <wp:simplePos x="0" y="0"/>
          <wp:positionH relativeFrom="page">
            <wp:align>left</wp:align>
          </wp:positionH>
          <wp:positionV relativeFrom="page">
            <wp:align>top</wp:align>
          </wp:positionV>
          <wp:extent cx="7560000" cy="1080000"/>
          <wp:effectExtent l="0" t="0" r="952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43E4BF5"/>
    <w:multiLevelType w:val="hybridMultilevel"/>
    <w:tmpl w:val="74DC8C08"/>
    <w:lvl w:ilvl="0" w:tplc="5410496E">
      <w:numFmt w:val="bullet"/>
      <w:lvlText w:val="•"/>
      <w:lvlJc w:val="left"/>
      <w:pPr>
        <w:ind w:left="720" w:hanging="720"/>
      </w:pPr>
      <w:rPr>
        <w:rFonts w:ascii="Arial" w:eastAsiaTheme="minorHAnsi" w:hAnsi="Arial" w:cs="Arial" w:hint="default"/>
      </w:rPr>
    </w:lvl>
    <w:lvl w:ilvl="1" w:tplc="73C832C6">
      <w:numFmt w:val="bullet"/>
      <w:lvlText w:val=""/>
      <w:lvlJc w:val="left"/>
      <w:pPr>
        <w:ind w:left="1440" w:hanging="720"/>
      </w:pPr>
      <w:rPr>
        <w:rFonts w:ascii="Symbol" w:eastAsiaTheme="minorHAnsi" w:hAnsi="Symbol"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A82551"/>
    <w:multiLevelType w:val="hybridMultilevel"/>
    <w:tmpl w:val="A4A87308"/>
    <w:lvl w:ilvl="0" w:tplc="E4CAA520">
      <w:start w:val="1"/>
      <w:numFmt w:val="bullet"/>
      <w:lvlText w:val="o"/>
      <w:lvlJc w:val="left"/>
      <w:pPr>
        <w:ind w:left="1440" w:hanging="720"/>
      </w:pPr>
      <w:rPr>
        <w:rFonts w:ascii="Courier New" w:hAnsi="Courier New" w:hint="default"/>
        <w:sz w:val="1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B7F26"/>
    <w:multiLevelType w:val="hybridMultilevel"/>
    <w:tmpl w:val="45B6DE4A"/>
    <w:lvl w:ilvl="0" w:tplc="5410496E">
      <w:numFmt w:val="bullet"/>
      <w:lvlText w:val="•"/>
      <w:lvlJc w:val="left"/>
      <w:pPr>
        <w:ind w:left="720" w:hanging="720"/>
      </w:pPr>
      <w:rPr>
        <w:rFonts w:ascii="Arial" w:eastAsiaTheme="minorHAnsi" w:hAnsi="Arial" w:cs="Arial" w:hint="default"/>
      </w:rPr>
    </w:lvl>
    <w:lvl w:ilvl="1" w:tplc="E4CAA520">
      <w:start w:val="1"/>
      <w:numFmt w:val="bullet"/>
      <w:lvlText w:val="o"/>
      <w:lvlJc w:val="left"/>
      <w:pPr>
        <w:ind w:left="1440" w:hanging="720"/>
      </w:pPr>
      <w:rPr>
        <w:rFonts w:ascii="Courier New" w:hAnsi="Courier New" w:hint="default"/>
        <w:sz w:val="1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562083"/>
    <w:multiLevelType w:val="hybridMultilevel"/>
    <w:tmpl w:val="F6E8D4F2"/>
    <w:lvl w:ilvl="0" w:tplc="5410496E">
      <w:numFmt w:val="bullet"/>
      <w:lvlText w:val="•"/>
      <w:lvlJc w:val="left"/>
      <w:pPr>
        <w:ind w:left="720" w:hanging="720"/>
      </w:pPr>
      <w:rPr>
        <w:rFonts w:ascii="Arial" w:eastAsiaTheme="minorHAnsi" w:hAnsi="Arial" w:cs="Arial" w:hint="default"/>
      </w:rPr>
    </w:lvl>
    <w:lvl w:ilvl="1" w:tplc="0C090003">
      <w:start w:val="1"/>
      <w:numFmt w:val="bullet"/>
      <w:lvlText w:val="o"/>
      <w:lvlJc w:val="left"/>
      <w:pPr>
        <w:ind w:left="1440" w:hanging="72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337F88"/>
    <w:multiLevelType w:val="hybridMultilevel"/>
    <w:tmpl w:val="AA88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AD"/>
    <w:rsid w:val="0002155B"/>
    <w:rsid w:val="000425F7"/>
    <w:rsid w:val="000436FC"/>
    <w:rsid w:val="00065751"/>
    <w:rsid w:val="000B38A9"/>
    <w:rsid w:val="000B61AC"/>
    <w:rsid w:val="000F7FDE"/>
    <w:rsid w:val="00154BF1"/>
    <w:rsid w:val="00190C24"/>
    <w:rsid w:val="001F1972"/>
    <w:rsid w:val="002371F7"/>
    <w:rsid w:val="002712BD"/>
    <w:rsid w:val="002C3128"/>
    <w:rsid w:val="002F78A2"/>
    <w:rsid w:val="00385A56"/>
    <w:rsid w:val="003E43DE"/>
    <w:rsid w:val="003F643A"/>
    <w:rsid w:val="00404BCA"/>
    <w:rsid w:val="004E27FC"/>
    <w:rsid w:val="004E5AD0"/>
    <w:rsid w:val="005B60B3"/>
    <w:rsid w:val="005D679B"/>
    <w:rsid w:val="005F4331"/>
    <w:rsid w:val="006239A5"/>
    <w:rsid w:val="00626CF0"/>
    <w:rsid w:val="00636B71"/>
    <w:rsid w:val="00682999"/>
    <w:rsid w:val="006C3D8E"/>
    <w:rsid w:val="007A156C"/>
    <w:rsid w:val="007F2E0E"/>
    <w:rsid w:val="0080579A"/>
    <w:rsid w:val="00826EA1"/>
    <w:rsid w:val="00907963"/>
    <w:rsid w:val="00922378"/>
    <w:rsid w:val="009242F4"/>
    <w:rsid w:val="009450C6"/>
    <w:rsid w:val="0096078C"/>
    <w:rsid w:val="0096595E"/>
    <w:rsid w:val="00986A12"/>
    <w:rsid w:val="009B7893"/>
    <w:rsid w:val="009E5EE5"/>
    <w:rsid w:val="009F02B3"/>
    <w:rsid w:val="00A07CCD"/>
    <w:rsid w:val="00A47F67"/>
    <w:rsid w:val="00A65710"/>
    <w:rsid w:val="00AB0A25"/>
    <w:rsid w:val="00AB237A"/>
    <w:rsid w:val="00AC555D"/>
    <w:rsid w:val="00AD2501"/>
    <w:rsid w:val="00AD4191"/>
    <w:rsid w:val="00B33337"/>
    <w:rsid w:val="00B8699D"/>
    <w:rsid w:val="00B932AD"/>
    <w:rsid w:val="00B9771E"/>
    <w:rsid w:val="00BB3DD8"/>
    <w:rsid w:val="00BC4AA9"/>
    <w:rsid w:val="00BF32AD"/>
    <w:rsid w:val="00C0519D"/>
    <w:rsid w:val="00C30D1F"/>
    <w:rsid w:val="00C60449"/>
    <w:rsid w:val="00C856F3"/>
    <w:rsid w:val="00CA36CA"/>
    <w:rsid w:val="00CB07AD"/>
    <w:rsid w:val="00CD793C"/>
    <w:rsid w:val="00D01CD2"/>
    <w:rsid w:val="00D3454D"/>
    <w:rsid w:val="00D57E61"/>
    <w:rsid w:val="00D75050"/>
    <w:rsid w:val="00D842DF"/>
    <w:rsid w:val="00DC5E03"/>
    <w:rsid w:val="00EE30C5"/>
    <w:rsid w:val="00EF2489"/>
    <w:rsid w:val="00EF474F"/>
    <w:rsid w:val="00EF4AC5"/>
    <w:rsid w:val="00F367B3"/>
    <w:rsid w:val="00F447A2"/>
    <w:rsid w:val="00FC437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023D6D"/>
  <w15:docId w15:val="{422F33AC-C1F8-4471-839E-F841387D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CommentReference">
    <w:name w:val="annotation reference"/>
    <w:basedOn w:val="DefaultParagraphFont"/>
    <w:uiPriority w:val="99"/>
    <w:semiHidden/>
    <w:unhideWhenUsed/>
    <w:rsid w:val="005B60B3"/>
    <w:rPr>
      <w:sz w:val="16"/>
      <w:szCs w:val="16"/>
    </w:rPr>
  </w:style>
  <w:style w:type="paragraph" w:styleId="CommentText">
    <w:name w:val="annotation text"/>
    <w:basedOn w:val="Normal"/>
    <w:link w:val="CommentTextChar"/>
    <w:uiPriority w:val="99"/>
    <w:semiHidden/>
    <w:unhideWhenUsed/>
    <w:rsid w:val="005B60B3"/>
    <w:pPr>
      <w:spacing w:line="240" w:lineRule="auto"/>
    </w:pPr>
    <w:rPr>
      <w:sz w:val="20"/>
      <w:szCs w:val="20"/>
    </w:rPr>
  </w:style>
  <w:style w:type="character" w:customStyle="1" w:styleId="CommentTextChar">
    <w:name w:val="Comment Text Char"/>
    <w:basedOn w:val="DefaultParagraphFont"/>
    <w:link w:val="CommentText"/>
    <w:uiPriority w:val="99"/>
    <w:semiHidden/>
    <w:rsid w:val="005B60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B60B3"/>
    <w:rPr>
      <w:b/>
      <w:bCs/>
    </w:rPr>
  </w:style>
  <w:style w:type="character" w:customStyle="1" w:styleId="CommentSubjectChar">
    <w:name w:val="Comment Subject Char"/>
    <w:basedOn w:val="CommentTextChar"/>
    <w:link w:val="CommentSubject"/>
    <w:uiPriority w:val="99"/>
    <w:semiHidden/>
    <w:rsid w:val="005B60B3"/>
    <w:rPr>
      <w:rFonts w:ascii="Arial" w:hAnsi="Arial"/>
      <w:b/>
      <w:bCs/>
      <w:sz w:val="20"/>
      <w:szCs w:val="20"/>
    </w:rPr>
  </w:style>
  <w:style w:type="paragraph" w:styleId="BalloonText">
    <w:name w:val="Balloon Text"/>
    <w:basedOn w:val="Normal"/>
    <w:link w:val="BalloonTextChar"/>
    <w:uiPriority w:val="99"/>
    <w:semiHidden/>
    <w:unhideWhenUsed/>
    <w:rsid w:val="005B6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B3"/>
    <w:rPr>
      <w:rFonts w:ascii="Tahoma" w:hAnsi="Tahoma" w:cs="Tahoma"/>
      <w:sz w:val="16"/>
      <w:szCs w:val="16"/>
    </w:rPr>
  </w:style>
  <w:style w:type="paragraph" w:styleId="Revision">
    <w:name w:val="Revision"/>
    <w:hidden/>
    <w:uiPriority w:val="99"/>
    <w:semiHidden/>
    <w:rsid w:val="00EF2489"/>
    <w:rPr>
      <w:rFonts w:ascii="Arial" w:hAnsi="Arial"/>
      <w:sz w:val="22"/>
    </w:rPr>
  </w:style>
  <w:style w:type="character" w:styleId="Hyperlink">
    <w:name w:val="Hyperlink"/>
    <w:basedOn w:val="DefaultParagraphFont"/>
    <w:uiPriority w:val="99"/>
    <w:unhideWhenUsed/>
    <w:rsid w:val="00EF2489"/>
    <w:rPr>
      <w:color w:val="0563C1" w:themeColor="hyperlink"/>
      <w:u w:val="single"/>
    </w:rPr>
  </w:style>
  <w:style w:type="character" w:styleId="FollowedHyperlink">
    <w:name w:val="FollowedHyperlink"/>
    <w:basedOn w:val="DefaultParagraphFont"/>
    <w:uiPriority w:val="99"/>
    <w:semiHidden/>
    <w:unhideWhenUsed/>
    <w:rsid w:val="00EF2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inforce/current/act-2006-0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pp/student-protection-proced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attachment/ssmh1-form-consent-form.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upporting-students-mental-health-and-wellbeing-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PRHPRMRecordNumber xmlns="http://schemas.microsoft.com/sharepoint/v3">20/708925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2022-01-17T00:47:01+00:00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Fact sheet – Obtaining valid student or parent/carer consent</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2022-01-17T02:36:44+00:00</PPLastReviewedDate>
    <PPContentAuthor xmlns="16795be8-4374-4e44-895d-be6cdbab3e2c">
      <UserInfo>
        <DisplayName/>
        <AccountId xsi:nil="true"/>
        <AccountType/>
      </UserInfo>
    </PPContentAuthor>
    <PPModeratedDate xmlns="16795be8-4374-4e44-895d-be6cdbab3e2c">2022-01-17T02:36:44+00:00</PPModeratedDate>
    <PPRBusinessUnit xmlns="http://schemas.microsoft.com/sharepoint/v3">Student Protection and Wellbeing</PPRBusinessUnit>
    <PPRIsUpdatesPage xmlns="http://schemas.microsoft.com/sharepoint/v3">false</PPRIsUpdatesPage>
    <PPRContentType xmlns="http://schemas.microsoft.com/sharepoint/v3">Supporting information</PPRContentType>
    <PPRHPRMUpdateDate xmlns="http://schemas.microsoft.com/sharepoint/v3">2021-03-17T01:18:41+00:00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Phil Janz, Principal Advisor - Mental Health</PPRContentAuthor>
    <PPRDecommissionedDate xmlns="http://schemas.microsoft.com/sharepoint/v3" xsi:nil="true"/>
    <PublishingExpirationDate xmlns="http://schemas.microsoft.com/sharepoint/v3" xsi:nil="true"/>
    <PPRPrimarySubCategory xmlns="16795be8-4374-4e44-895d-be6cdbab3e2c">4</PPRPrimarySubCategory>
    <PublishingStartDate xmlns="http://schemas.microsoft.com/sharepoint/v3" xsi:nil="true"/>
    <PPRContentOwner xmlns="http://schemas.microsoft.com/sharepoint/v3">DDG, State Schools</PPRContentOwner>
    <PPRNominatedApprovers xmlns="http://schemas.microsoft.com/sharepoint/v3">ED; ADG;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mental health; wellbeing; illness; clinical care provider; case manager; student plan; mental health difficulty; referral; suicide; SMS-PR-035;</PPRKeywords>
    <PPRPublishedDate xmlns="http://schemas.microsoft.com/sharepoint/v3" xsi:nil="true"/>
    <PPRStatus xmlns="http://schemas.microsoft.com/sharepoint/v3" xsi:nil="true"/>
    <PPRRisknumber xmlns="http://schemas.microsoft.com/sharepoint/v3" xsi:nil="true"/>
    <PPRAttachmentParent xmlns="http://schemas.microsoft.com/sharepoint/v3">20/708624</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8A856-0AA5-40A4-B40E-EADCC796C133}"/>
</file>

<file path=customXml/itemProps2.xml><?xml version="1.0" encoding="utf-8"?>
<ds:datastoreItem xmlns:ds="http://schemas.openxmlformats.org/officeDocument/2006/customXml" ds:itemID="{D99612F3-6034-433B-A171-71E65319D61C}"/>
</file>

<file path=customXml/itemProps3.xml><?xml version="1.0" encoding="utf-8"?>
<ds:datastoreItem xmlns:ds="http://schemas.openxmlformats.org/officeDocument/2006/customXml" ds:itemID="{B333F996-38C8-4B2D-9909-2C8E65BC7AAD}"/>
</file>

<file path=customXml/itemProps4.xml><?xml version="1.0" encoding="utf-8"?>
<ds:datastoreItem xmlns:ds="http://schemas.openxmlformats.org/officeDocument/2006/customXml" ds:itemID="{2D5EFD0C-1A3E-4411-990D-9BF8B28F2126}"/>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DoE corporate A4 page portrait - option 2</vt:lpstr>
    </vt:vector>
  </TitlesOfParts>
  <Company>Queensland Government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Obtaining valid student or parent/carer consent</dc:title>
  <cp:keywords>mental health; wellbeing; illness; clinical care provider; case manager; student plan; mental health difficulty; referral; suicide; SMS-PR-035</cp:keywords>
  <cp:revision>3</cp:revision>
  <cp:lastPrinted>2018-07-09T23:42:00Z</cp:lastPrinted>
  <dcterms:created xsi:type="dcterms:W3CDTF">2021-03-17T01:05:00Z</dcterms:created>
  <dcterms:modified xsi:type="dcterms:W3CDTF">2021-03-17T01:09:00Z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Order">
    <vt:r8>15600</vt:r8>
  </property>
</Properties>
</file>