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C63D" w14:textId="1CD0287C" w:rsidR="00507A9A" w:rsidRPr="006614C2" w:rsidRDefault="00DB5B6B" w:rsidP="00507A9A">
      <w:pPr>
        <w:rPr>
          <w:rFonts w:ascii="Arial" w:hAnsi="Arial" w:cs="Arial"/>
          <w:sz w:val="28"/>
          <w:szCs w:val="28"/>
          <w:lang w:eastAsia="en-AU"/>
        </w:rPr>
      </w:pPr>
      <w:r w:rsidRPr="006614C2">
        <w:rPr>
          <w:rFonts w:ascii="Arial" w:hAnsi="Arial" w:cs="Arial"/>
          <w:sz w:val="28"/>
          <w:szCs w:val="28"/>
          <w:lang w:eastAsia="en-AU"/>
        </w:rPr>
        <w:t>F</w:t>
      </w:r>
      <w:r w:rsidR="00507A9A" w:rsidRPr="006614C2">
        <w:rPr>
          <w:rFonts w:ascii="Arial" w:hAnsi="Arial" w:cs="Arial"/>
          <w:sz w:val="28"/>
          <w:szCs w:val="28"/>
          <w:lang w:eastAsia="en-AU"/>
        </w:rPr>
        <w:t xml:space="preserve">ee </w:t>
      </w:r>
      <w:r w:rsidR="00AC3785" w:rsidRPr="006614C2">
        <w:rPr>
          <w:rFonts w:ascii="Arial" w:hAnsi="Arial" w:cs="Arial"/>
          <w:sz w:val="28"/>
          <w:szCs w:val="28"/>
          <w:lang w:eastAsia="en-AU"/>
        </w:rPr>
        <w:t xml:space="preserve">reference table </w:t>
      </w:r>
      <w:r w:rsidRPr="006614C2">
        <w:rPr>
          <w:rFonts w:ascii="Arial" w:hAnsi="Arial" w:cs="Arial"/>
          <w:sz w:val="28"/>
          <w:szCs w:val="28"/>
          <w:lang w:eastAsia="en-AU"/>
        </w:rPr>
        <w:t>– distance education</w:t>
      </w:r>
    </w:p>
    <w:p w14:paraId="7D7C9EDC" w14:textId="7E20ADAC" w:rsidR="004F5249" w:rsidRPr="0073475A" w:rsidRDefault="00451DB3" w:rsidP="00940642">
      <w:pPr>
        <w:pStyle w:val="PPRNormal"/>
        <w:spacing w:line="276" w:lineRule="auto"/>
        <w:rPr>
          <w:rFonts w:cs="Arial"/>
        </w:rPr>
      </w:pPr>
      <w:r>
        <w:rPr>
          <w:rFonts w:cs="Arial"/>
        </w:rPr>
        <w:t>Depending on the enrolment circumstances of the student, f</w:t>
      </w:r>
      <w:r w:rsidR="001602EF">
        <w:rPr>
          <w:rFonts w:cs="Arial"/>
        </w:rPr>
        <w:t xml:space="preserve">ees </w:t>
      </w:r>
      <w:r w:rsidR="00CE2BEC">
        <w:rPr>
          <w:rFonts w:cs="Arial"/>
        </w:rPr>
        <w:t>may</w:t>
      </w:r>
      <w:r>
        <w:rPr>
          <w:rFonts w:cs="Arial"/>
        </w:rPr>
        <w:t xml:space="preserve"> be</w:t>
      </w:r>
      <w:r w:rsidR="001602EF">
        <w:rPr>
          <w:rFonts w:cs="Arial"/>
        </w:rPr>
        <w:t xml:space="preserve"> payable </w:t>
      </w:r>
      <w:r w:rsidR="008449AD">
        <w:rPr>
          <w:rFonts w:cs="Arial"/>
        </w:rPr>
        <w:t xml:space="preserve">in order </w:t>
      </w:r>
      <w:r w:rsidR="001602EF" w:rsidRPr="006310A9">
        <w:rPr>
          <w:rFonts w:cs="Arial"/>
          <w:bCs/>
        </w:rPr>
        <w:t xml:space="preserve">for </w:t>
      </w:r>
      <w:r w:rsidR="008449AD">
        <w:rPr>
          <w:rFonts w:cs="Arial"/>
          <w:bCs/>
        </w:rPr>
        <w:t xml:space="preserve">the </w:t>
      </w:r>
      <w:r w:rsidR="001602EF" w:rsidRPr="006310A9">
        <w:rPr>
          <w:rFonts w:cs="Arial"/>
          <w:bCs/>
        </w:rPr>
        <w:t xml:space="preserve">student </w:t>
      </w:r>
      <w:r w:rsidR="00161C2D">
        <w:rPr>
          <w:rFonts w:cs="Arial"/>
          <w:bCs/>
        </w:rPr>
        <w:t xml:space="preserve">to be provided </w:t>
      </w:r>
      <w:r w:rsidR="001602EF" w:rsidRPr="006310A9">
        <w:rPr>
          <w:rFonts w:cs="Arial"/>
          <w:bCs/>
        </w:rPr>
        <w:t>a program</w:t>
      </w:r>
      <w:r w:rsidR="008449AD">
        <w:rPr>
          <w:rFonts w:cs="Arial"/>
          <w:bCs/>
        </w:rPr>
        <w:t xml:space="preserve"> (</w:t>
      </w:r>
      <w:r w:rsidR="001602EF" w:rsidRPr="006310A9">
        <w:rPr>
          <w:rFonts w:cs="Arial"/>
          <w:bCs/>
        </w:rPr>
        <w:t xml:space="preserve">or </w:t>
      </w:r>
      <w:r w:rsidR="005C70FC">
        <w:rPr>
          <w:rFonts w:cs="Arial"/>
          <w:bCs/>
        </w:rPr>
        <w:t xml:space="preserve">a </w:t>
      </w:r>
      <w:r w:rsidR="001602EF" w:rsidRPr="006310A9">
        <w:rPr>
          <w:rFonts w:cs="Arial"/>
          <w:bCs/>
        </w:rPr>
        <w:t>component</w:t>
      </w:r>
      <w:r w:rsidR="008449AD">
        <w:rPr>
          <w:rFonts w:cs="Arial"/>
          <w:bCs/>
        </w:rPr>
        <w:t>)</w:t>
      </w:r>
      <w:r w:rsidR="001602EF" w:rsidRPr="006310A9">
        <w:rPr>
          <w:rFonts w:cs="Arial"/>
          <w:bCs/>
        </w:rPr>
        <w:t xml:space="preserve"> of distance education</w:t>
      </w:r>
      <w:r w:rsidR="001602EF">
        <w:rPr>
          <w:rFonts w:cs="Arial"/>
          <w:bCs/>
        </w:rPr>
        <w:t>.</w:t>
      </w:r>
      <w:r w:rsidR="0073475A">
        <w:rPr>
          <w:rFonts w:cs="Arial"/>
        </w:rPr>
        <w:t xml:space="preserve"> </w:t>
      </w:r>
      <w:r w:rsidR="00507A9A" w:rsidRPr="001602EF">
        <w:rPr>
          <w:rFonts w:cs="Arial"/>
        </w:rPr>
        <w:t>Certain</w:t>
      </w:r>
      <w:r w:rsidR="00507A9A">
        <w:t xml:space="preserve"> students who </w:t>
      </w:r>
      <w:r w:rsidR="00F66B0A">
        <w:t>are liable to pay fees</w:t>
      </w:r>
      <w:r w:rsidR="00507A9A">
        <w:t xml:space="preserve"> may be eligible for an </w:t>
      </w:r>
      <w:r w:rsidR="00507A9A" w:rsidRPr="002C382F">
        <w:t>exemption from paying a fee</w:t>
      </w:r>
      <w:r w:rsidR="00893374">
        <w:t>. D</w:t>
      </w:r>
      <w:r w:rsidR="00507A9A" w:rsidRPr="00140F2E">
        <w:t>ocumentation</w:t>
      </w:r>
      <w:r w:rsidR="001602EF">
        <w:t>/evidence</w:t>
      </w:r>
      <w:r w:rsidR="00507A9A" w:rsidRPr="00140F2E">
        <w:t xml:space="preserve"> will be required to support </w:t>
      </w:r>
      <w:r w:rsidR="00893374">
        <w:t xml:space="preserve">such </w:t>
      </w:r>
      <w:r w:rsidR="00507A9A" w:rsidRPr="00140F2E">
        <w:t>application</w:t>
      </w:r>
      <w:r w:rsidR="00507A9A">
        <w:t xml:space="preserve">s </w:t>
      </w:r>
      <w:r w:rsidR="00893374">
        <w:t>that</w:t>
      </w:r>
      <w:r w:rsidR="00507A9A" w:rsidRPr="00140F2E">
        <w:t xml:space="preserve"> will be </w:t>
      </w:r>
      <w:r w:rsidR="008449AD">
        <w:t xml:space="preserve">assessed </w:t>
      </w:r>
      <w:r w:rsidR="00507A9A" w:rsidRPr="00140F2E">
        <w:t>against legislative requirements</w:t>
      </w:r>
      <w:r w:rsidR="00893374">
        <w:t xml:space="preserve"> (as detailed in </w:t>
      </w:r>
      <w:hyperlink r:id="rId10" w:anchor="sec.53" w:history="1">
        <w:r w:rsidR="006F5778" w:rsidRPr="006F5778">
          <w:rPr>
            <w:rStyle w:val="Hyperlink"/>
            <w:rFonts w:cs="Arial"/>
            <w:bCs/>
          </w:rPr>
          <w:t>s</w:t>
        </w:r>
        <w:r w:rsidR="00893374" w:rsidRPr="006F5778">
          <w:rPr>
            <w:rStyle w:val="Hyperlink"/>
            <w:rFonts w:cs="Arial"/>
            <w:bCs/>
          </w:rPr>
          <w:t>ection 53</w:t>
        </w:r>
      </w:hyperlink>
      <w:r w:rsidR="00893374" w:rsidRPr="001602EF">
        <w:rPr>
          <w:rFonts w:cs="Arial"/>
          <w:bCs/>
        </w:rPr>
        <w:t xml:space="preserve"> of the </w:t>
      </w:r>
      <w:r w:rsidR="00893374" w:rsidRPr="00893374">
        <w:rPr>
          <w:rFonts w:cs="Arial"/>
          <w:bCs/>
          <w:i/>
        </w:rPr>
        <w:t xml:space="preserve">Education (General Provisions) Act 2006 </w:t>
      </w:r>
      <w:r w:rsidR="00893374" w:rsidRPr="00893374">
        <w:rPr>
          <w:rFonts w:cs="Arial"/>
          <w:bCs/>
        </w:rPr>
        <w:t>(Qld)</w:t>
      </w:r>
      <w:r w:rsidR="00893374" w:rsidRPr="001602EF">
        <w:rPr>
          <w:rFonts w:cs="Arial"/>
          <w:bCs/>
          <w:i/>
        </w:rPr>
        <w:t xml:space="preserve"> </w:t>
      </w:r>
      <w:r w:rsidR="00893374" w:rsidRPr="001602EF">
        <w:rPr>
          <w:rFonts w:cs="Arial"/>
          <w:bCs/>
        </w:rPr>
        <w:t>(the Act</w:t>
      </w:r>
      <w:r w:rsidR="00893374" w:rsidRPr="001602EF">
        <w:rPr>
          <w:rFonts w:cs="Arial"/>
          <w:bCs/>
          <w:i/>
        </w:rPr>
        <w:t>)</w:t>
      </w:r>
      <w:r w:rsidR="00507A9A">
        <w:t>.</w:t>
      </w:r>
      <w:bookmarkStart w:id="1" w:name="_Hlk98252446"/>
      <w:r w:rsidR="0073475A">
        <w:rPr>
          <w:rFonts w:cs="Arial"/>
        </w:rPr>
        <w:t xml:space="preserve"> </w:t>
      </w:r>
      <w:r w:rsidR="004F5249" w:rsidRPr="004E4F6A">
        <w:t xml:space="preserve">The </w:t>
      </w:r>
      <w:r w:rsidR="00363490">
        <w:t>school of distance education (SDE)</w:t>
      </w:r>
      <w:r w:rsidR="004F5249" w:rsidRPr="004E4F6A">
        <w:t xml:space="preserve"> principal </w:t>
      </w:r>
      <w:bookmarkEnd w:id="1"/>
      <w:r w:rsidR="004F5249">
        <w:t>may also waive fees, either entirely or partly</w:t>
      </w:r>
      <w:r w:rsidR="006F41AD">
        <w:t>,</w:t>
      </w:r>
      <w:r w:rsidR="004F5249">
        <w:t xml:space="preserve"> if satisfied of particular circumstances</w:t>
      </w:r>
      <w:r w:rsidR="00AF4D15">
        <w:t xml:space="preserve"> </w:t>
      </w:r>
      <w:r w:rsidR="00940642">
        <w:t>(as</w:t>
      </w:r>
      <w:r w:rsidR="00AF4D15">
        <w:t xml:space="preserve"> detailed in </w:t>
      </w:r>
      <w:hyperlink r:id="rId11" w:anchor="sec.54" w:history="1">
        <w:r w:rsidR="00AF4D15" w:rsidRPr="006B5D9D">
          <w:rPr>
            <w:rStyle w:val="Hyperlink"/>
          </w:rPr>
          <w:t>section 54</w:t>
        </w:r>
      </w:hyperlink>
      <w:r w:rsidR="00AF4D15">
        <w:t xml:space="preserve"> of the Act</w:t>
      </w:r>
      <w:r w:rsidR="00940642">
        <w:t>)</w:t>
      </w:r>
      <w:r w:rsidR="006B5D9D">
        <w:t>.</w:t>
      </w:r>
    </w:p>
    <w:p w14:paraId="2FF3F11F" w14:textId="49AD780D" w:rsidR="00300482" w:rsidRDefault="003B4698" w:rsidP="00940642">
      <w:pPr>
        <w:pStyle w:val="PPRNormal"/>
        <w:spacing w:line="276" w:lineRule="auto"/>
      </w:pPr>
      <w:bookmarkStart w:id="2" w:name="_Hlk112320518"/>
      <w:r>
        <w:t xml:space="preserve">Section 70 and Schedule 2 </w:t>
      </w:r>
      <w:bookmarkEnd w:id="2"/>
      <w:r w:rsidRPr="003657E1">
        <w:t>of</w:t>
      </w:r>
      <w:r>
        <w:t xml:space="preserve"> the</w:t>
      </w:r>
      <w:r w:rsidRPr="003657E1">
        <w:t xml:space="preserve"> </w:t>
      </w:r>
      <w:hyperlink r:id="rId12" w:history="1">
        <w:r w:rsidRPr="00E4544D">
          <w:rPr>
            <w:rStyle w:val="PPRHyperlink"/>
          </w:rPr>
          <w:t>Education (General Provisions) Regulation 2017 (Qld)</w:t>
        </w:r>
      </w:hyperlink>
      <w:r w:rsidRPr="00B7263F">
        <w:t xml:space="preserve"> (the </w:t>
      </w:r>
      <w:r>
        <w:t>EGPR</w:t>
      </w:r>
      <w:r w:rsidRPr="00B7263F">
        <w:t>)</w:t>
      </w:r>
      <w:r>
        <w:t xml:space="preserve"> prescribe the fee units for distance education. </w:t>
      </w:r>
      <w:bookmarkStart w:id="3" w:name="_Hlk115083566"/>
      <w:r>
        <w:t xml:space="preserve">Fees </w:t>
      </w:r>
      <w:r w:rsidRPr="003657E1">
        <w:t xml:space="preserve">increase </w:t>
      </w:r>
      <w:r>
        <w:t xml:space="preserve">each year </w:t>
      </w:r>
      <w:r w:rsidRPr="003657E1">
        <w:t xml:space="preserve">in line with the </w:t>
      </w:r>
      <w:r>
        <w:t xml:space="preserve">Government Indexation Policy </w:t>
      </w:r>
      <w:bookmarkEnd w:id="3"/>
      <w:r>
        <w:t>and are published</w:t>
      </w:r>
      <w:r w:rsidR="003C5470">
        <w:t xml:space="preserve"> on the </w:t>
      </w:r>
      <w:hyperlink r:id="rId13" w:history="1">
        <w:r w:rsidR="003C5470" w:rsidRPr="003C5470">
          <w:rPr>
            <w:rStyle w:val="Hyperlink"/>
          </w:rPr>
          <w:t>Fees prescribed in education legislation</w:t>
        </w:r>
      </w:hyperlink>
      <w:r w:rsidR="003C5470">
        <w:t xml:space="preserve"> webpage</w:t>
      </w:r>
      <w:r w:rsidR="00A958B9" w:rsidRPr="00C649CE">
        <w:t>.</w:t>
      </w:r>
      <w:r w:rsidR="00BE48DF" w:rsidRPr="00BE48DF">
        <w:t xml:space="preserve"> </w:t>
      </w:r>
      <w:r w:rsidR="000615C9" w:rsidRPr="000615C9">
        <w:t>T</w:t>
      </w:r>
      <w:r w:rsidR="000615C9">
        <w:t xml:space="preserve">he following table outlines the enrolment circumstances and the required documentation for fee </w:t>
      </w:r>
      <w:r w:rsidR="00AC3785">
        <w:t xml:space="preserve">exemptions and </w:t>
      </w:r>
      <w:r w:rsidR="000615C9">
        <w:t>waivers:</w:t>
      </w:r>
    </w:p>
    <w:p w14:paraId="08BE97AF" w14:textId="77777777" w:rsidR="00F66B0A" w:rsidRDefault="00F66B0A" w:rsidP="00F66B0A">
      <w:pPr>
        <w:pStyle w:val="PPRNormal"/>
        <w:spacing w:before="0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90"/>
        <w:gridCol w:w="5774"/>
        <w:gridCol w:w="6189"/>
      </w:tblGrid>
      <w:tr w:rsidR="005A78EE" w:rsidRPr="00507A9A" w14:paraId="4E9CAC08" w14:textId="77777777" w:rsidTr="001D1693">
        <w:trPr>
          <w:tblHeader/>
        </w:trPr>
        <w:tc>
          <w:tcPr>
            <w:tcW w:w="1990" w:type="dxa"/>
            <w:tcBorders>
              <w:top w:val="nil"/>
              <w:left w:val="nil"/>
              <w:bottom w:val="single" w:sz="12" w:space="0" w:color="auto"/>
            </w:tcBorders>
          </w:tcPr>
          <w:p w14:paraId="36214E3C" w14:textId="77777777" w:rsidR="005A78EE" w:rsidRPr="00507A9A" w:rsidRDefault="005A78EE" w:rsidP="001D1693">
            <w:pPr>
              <w:rPr>
                <w:b/>
              </w:rPr>
            </w:pPr>
          </w:p>
        </w:tc>
        <w:tc>
          <w:tcPr>
            <w:tcW w:w="5774" w:type="dxa"/>
            <w:tcBorders>
              <w:bottom w:val="single" w:sz="12" w:space="0" w:color="auto"/>
            </w:tcBorders>
            <w:shd w:val="clear" w:color="auto" w:fill="000000" w:themeFill="text1"/>
          </w:tcPr>
          <w:p w14:paraId="36C3350E" w14:textId="77777777" w:rsidR="005A78EE" w:rsidRPr="000C7A44" w:rsidRDefault="005A78EE" w:rsidP="001D1693">
            <w:pPr>
              <w:jc w:val="center"/>
              <w:rPr>
                <w:b/>
                <w:color w:val="FFFFFF" w:themeColor="background1"/>
              </w:rPr>
            </w:pPr>
            <w:r w:rsidRPr="000C7A44">
              <w:rPr>
                <w:b/>
                <w:color w:val="FFFFFF" w:themeColor="background1"/>
              </w:rPr>
              <w:t>Enrolment circumstance</w:t>
            </w:r>
          </w:p>
        </w:tc>
        <w:tc>
          <w:tcPr>
            <w:tcW w:w="6189" w:type="dxa"/>
            <w:tcBorders>
              <w:bottom w:val="single" w:sz="12" w:space="0" w:color="auto"/>
            </w:tcBorders>
            <w:shd w:val="clear" w:color="auto" w:fill="000000" w:themeFill="text1"/>
          </w:tcPr>
          <w:p w14:paraId="79D72B15" w14:textId="3C9867E6" w:rsidR="005A78EE" w:rsidRPr="000C7A44" w:rsidRDefault="005A78EE" w:rsidP="001D1693">
            <w:pPr>
              <w:jc w:val="center"/>
              <w:rPr>
                <w:b/>
                <w:color w:val="FFFFFF" w:themeColor="background1"/>
              </w:rPr>
            </w:pPr>
            <w:r w:rsidRPr="000C7A44">
              <w:rPr>
                <w:b/>
                <w:color w:val="FFFFFF" w:themeColor="background1"/>
              </w:rPr>
              <w:t>Supporting documentation/</w:t>
            </w:r>
            <w:r w:rsidR="004561B9">
              <w:rPr>
                <w:b/>
                <w:color w:val="FFFFFF" w:themeColor="background1"/>
              </w:rPr>
              <w:t>e</w:t>
            </w:r>
            <w:r w:rsidRPr="000C7A44">
              <w:rPr>
                <w:b/>
                <w:color w:val="FFFFFF" w:themeColor="background1"/>
              </w:rPr>
              <w:t>vidence to support application</w:t>
            </w:r>
          </w:p>
        </w:tc>
      </w:tr>
      <w:tr w:rsidR="005A78EE" w14:paraId="1A7C7E54" w14:textId="77777777" w:rsidTr="001D1693">
        <w:tc>
          <w:tcPr>
            <w:tcW w:w="19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6B807BDB" w14:textId="13E36177" w:rsidR="00DA402D" w:rsidRPr="001F5463" w:rsidRDefault="003C5470" w:rsidP="003C5470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1. </w:t>
            </w:r>
            <w:r w:rsidR="00DA402D" w:rsidRPr="001F5463">
              <w:rPr>
                <w:rFonts w:ascii="Arial" w:hAnsi="Arial" w:cs="Arial"/>
                <w:b/>
                <w:sz w:val="18"/>
                <w:szCs w:val="18"/>
                <w:lang w:val="en-GB"/>
              </w:rPr>
              <w:t>Circumstance</w:t>
            </w:r>
            <w:r w:rsidR="001238A9" w:rsidRPr="001F546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DA402D" w:rsidRPr="001F5463">
              <w:rPr>
                <w:rFonts w:ascii="Arial" w:hAnsi="Arial" w:cs="Arial"/>
                <w:b/>
                <w:sz w:val="18"/>
                <w:szCs w:val="18"/>
                <w:lang w:val="en-GB"/>
              </w:rPr>
              <w:t>where fee do</w:t>
            </w:r>
            <w:r w:rsidR="00E00814" w:rsidRPr="001F5463">
              <w:rPr>
                <w:rFonts w:ascii="Arial" w:hAnsi="Arial" w:cs="Arial"/>
                <w:b/>
                <w:sz w:val="18"/>
                <w:szCs w:val="18"/>
                <w:lang w:val="en-GB"/>
              </w:rPr>
              <w:t>es</w:t>
            </w:r>
            <w:r w:rsidR="00DA402D" w:rsidRPr="001F546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not apply </w:t>
            </w:r>
          </w:p>
          <w:p w14:paraId="3B1C6F4E" w14:textId="77777777" w:rsidR="005A78EE" w:rsidRPr="00DC3A46" w:rsidRDefault="005A78EE" w:rsidP="001D1693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</w:p>
        </w:tc>
        <w:tc>
          <w:tcPr>
            <w:tcW w:w="577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4CE6C8CB" w14:textId="4BA893C0" w:rsidR="005A78EE" w:rsidRPr="001238A9" w:rsidRDefault="004561B9" w:rsidP="001D169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S</w:t>
            </w:r>
            <w:r w:rsidR="005A78EE" w:rsidRPr="001238A9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tate school student studying subject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/s</w:t>
            </w:r>
            <w:r w:rsidR="005A78EE" w:rsidRPr="001238A9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at SDE</w:t>
            </w:r>
            <w:r w:rsidR="005C70FC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</w:t>
            </w:r>
          </w:p>
          <w:p w14:paraId="4CB1FC32" w14:textId="2BCFF05C" w:rsidR="00981844" w:rsidRPr="00940642" w:rsidRDefault="005A78EE" w:rsidP="001D169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5099">
              <w:rPr>
                <w:rFonts w:ascii="Arial" w:hAnsi="Arial" w:cs="Arial"/>
                <w:sz w:val="18"/>
                <w:szCs w:val="18"/>
                <w:lang w:val="en-GB"/>
              </w:rPr>
              <w:t xml:space="preserve">State school student enrolled in </w:t>
            </w:r>
            <w:r w:rsidR="004561B9">
              <w:rPr>
                <w:rFonts w:ascii="Arial" w:hAnsi="Arial" w:cs="Arial"/>
                <w:sz w:val="18"/>
                <w:szCs w:val="18"/>
                <w:lang w:val="en-GB"/>
              </w:rPr>
              <w:t>only</w:t>
            </w:r>
            <w:r w:rsidR="004561B9" w:rsidRPr="0046509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465099">
              <w:rPr>
                <w:rFonts w:ascii="Arial" w:hAnsi="Arial" w:cs="Arial"/>
                <w:sz w:val="18"/>
                <w:szCs w:val="18"/>
                <w:lang w:val="en-GB"/>
              </w:rPr>
              <w:t>a component</w:t>
            </w:r>
            <w:r w:rsidR="005C70F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465099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="005C70FC">
              <w:rPr>
                <w:rFonts w:ascii="Arial" w:hAnsi="Arial" w:cs="Arial"/>
                <w:sz w:val="18"/>
                <w:szCs w:val="18"/>
                <w:lang w:val="en-GB"/>
              </w:rPr>
              <w:t xml:space="preserve">i.e. </w:t>
            </w:r>
            <w:r w:rsidRPr="00465099">
              <w:rPr>
                <w:rFonts w:ascii="Arial" w:hAnsi="Arial" w:cs="Arial"/>
                <w:sz w:val="18"/>
                <w:szCs w:val="18"/>
                <w:lang w:val="en-GB"/>
              </w:rPr>
              <w:t>subject</w:t>
            </w:r>
            <w:r w:rsidR="00993DF4">
              <w:rPr>
                <w:rFonts w:ascii="Arial" w:hAnsi="Arial" w:cs="Arial"/>
                <w:sz w:val="18"/>
                <w:szCs w:val="18"/>
                <w:lang w:val="en-GB"/>
              </w:rPr>
              <w:t>/</w:t>
            </w:r>
            <w:r w:rsidRPr="00465099">
              <w:rPr>
                <w:rFonts w:ascii="Arial" w:hAnsi="Arial" w:cs="Arial"/>
                <w:sz w:val="18"/>
                <w:szCs w:val="18"/>
                <w:lang w:val="en-GB"/>
              </w:rPr>
              <w:t>s) of distance education as part of an approved flexible arrangement</w:t>
            </w:r>
            <w:r w:rsidR="00F06877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  <w:tc>
          <w:tcPr>
            <w:tcW w:w="618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6324EBF2" w14:textId="056BCCC9" w:rsidR="00981844" w:rsidRPr="00940642" w:rsidRDefault="005A78EE" w:rsidP="001D169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E0532">
              <w:rPr>
                <w:rFonts w:ascii="Arial" w:hAnsi="Arial" w:cs="Arial"/>
                <w:sz w:val="18"/>
                <w:szCs w:val="18"/>
                <w:lang w:val="en-GB"/>
              </w:rPr>
              <w:t xml:space="preserve">Base school principal to complete </w:t>
            </w:r>
            <w:hyperlink r:id="rId14" w:history="1">
              <w:r w:rsidR="007C10AA" w:rsidRPr="00C649CE">
                <w:rPr>
                  <w:rStyle w:val="Hyperlink"/>
                  <w:rFonts w:ascii="Arial" w:hAnsi="Arial" w:cs="Arial"/>
                  <w:sz w:val="18"/>
                  <w:szCs w:val="18"/>
                  <w:lang w:eastAsia="en-AU"/>
                </w:rPr>
                <w:t xml:space="preserve">SDE </w:t>
              </w:r>
              <w:r w:rsidR="00993DF4" w:rsidRPr="00C649CE">
                <w:rPr>
                  <w:rStyle w:val="Hyperlink"/>
                  <w:rFonts w:ascii="Arial" w:hAnsi="Arial" w:cs="Arial"/>
                  <w:sz w:val="18"/>
                  <w:szCs w:val="18"/>
                  <w:lang w:eastAsia="en-AU"/>
                </w:rPr>
                <w:t>application for student enrolment form (</w:t>
              </w:r>
              <w:r w:rsidR="0034437F">
                <w:rPr>
                  <w:rStyle w:val="Hyperlink"/>
                  <w:rFonts w:ascii="Arial" w:hAnsi="Arial" w:cs="Arial"/>
                  <w:sz w:val="18"/>
                  <w:szCs w:val="18"/>
                  <w:lang w:eastAsia="en-AU"/>
                </w:rPr>
                <w:t xml:space="preserve">state </w:t>
              </w:r>
              <w:r w:rsidRPr="00C649CE">
                <w:rPr>
                  <w:rStyle w:val="Hyperlink"/>
                  <w:rFonts w:ascii="Arial" w:hAnsi="Arial" w:cs="Arial"/>
                  <w:sz w:val="18"/>
                  <w:szCs w:val="18"/>
                  <w:lang w:eastAsia="en-AU"/>
                </w:rPr>
                <w:t>school</w:t>
              </w:r>
              <w:r w:rsidR="000C7A44" w:rsidRPr="00C649CE">
                <w:rPr>
                  <w:rStyle w:val="Hyperlink"/>
                  <w:rFonts w:ascii="Arial" w:hAnsi="Arial" w:cs="Arial"/>
                  <w:sz w:val="18"/>
                  <w:szCs w:val="18"/>
                  <w:lang w:eastAsia="en-AU"/>
                </w:rPr>
                <w:t>-</w:t>
              </w:r>
              <w:r w:rsidRPr="00C649CE">
                <w:rPr>
                  <w:rStyle w:val="Hyperlink"/>
                  <w:rFonts w:ascii="Arial" w:hAnsi="Arial" w:cs="Arial"/>
                  <w:sz w:val="18"/>
                  <w:szCs w:val="18"/>
                  <w:lang w:eastAsia="en-AU"/>
                </w:rPr>
                <w:t>based</w:t>
              </w:r>
              <w:r w:rsidR="00993DF4" w:rsidRPr="00C649CE">
                <w:rPr>
                  <w:rStyle w:val="Hyperlink"/>
                  <w:rFonts w:ascii="Arial" w:hAnsi="Arial" w:cs="Arial"/>
                  <w:sz w:val="18"/>
                  <w:szCs w:val="18"/>
                  <w:lang w:eastAsia="en-AU"/>
                </w:rPr>
                <w:t xml:space="preserve"> students)</w:t>
              </w:r>
            </w:hyperlink>
          </w:p>
        </w:tc>
      </w:tr>
      <w:tr w:rsidR="00C60D51" w14:paraId="65BB77D3" w14:textId="77777777" w:rsidTr="001D1693">
        <w:tc>
          <w:tcPr>
            <w:tcW w:w="19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0690666B" w14:textId="636FCC1F" w:rsidR="00C60D51" w:rsidRPr="001F5463" w:rsidRDefault="003C5470" w:rsidP="003C5470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2. </w:t>
            </w:r>
            <w:r w:rsidR="00C60D51" w:rsidRPr="001F546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Circumstances where </w:t>
            </w:r>
            <w:r w:rsidR="00161C2D" w:rsidRPr="001F5463">
              <w:rPr>
                <w:rFonts w:ascii="Arial" w:hAnsi="Arial" w:cs="Arial"/>
                <w:b/>
                <w:sz w:val="18"/>
                <w:szCs w:val="18"/>
                <w:lang w:val="en-GB"/>
              </w:rPr>
              <w:t>fee appl</w:t>
            </w:r>
            <w:r w:rsidR="00E00814" w:rsidRPr="001F5463">
              <w:rPr>
                <w:rFonts w:ascii="Arial" w:hAnsi="Arial" w:cs="Arial"/>
                <w:b/>
                <w:sz w:val="18"/>
                <w:szCs w:val="18"/>
                <w:lang w:val="en-GB"/>
              </w:rPr>
              <w:t>ies</w:t>
            </w:r>
            <w:r w:rsidR="00161C2D" w:rsidRPr="001F546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but </w:t>
            </w:r>
            <w:r w:rsidR="00451DB3" w:rsidRPr="001F5463">
              <w:rPr>
                <w:rFonts w:ascii="Arial" w:hAnsi="Arial" w:cs="Arial"/>
                <w:b/>
                <w:sz w:val="18"/>
                <w:szCs w:val="18"/>
                <w:lang w:val="en-GB"/>
              </w:rPr>
              <w:t>student</w:t>
            </w:r>
            <w:r w:rsidR="00C60D51" w:rsidRPr="001F546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is eligible for exemption </w:t>
            </w:r>
          </w:p>
          <w:p w14:paraId="174E5F6A" w14:textId="77777777" w:rsidR="00451DB3" w:rsidRDefault="00451DB3" w:rsidP="001D1693">
            <w:pPr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</w:p>
          <w:p w14:paraId="2D2D252D" w14:textId="77777777" w:rsidR="00981844" w:rsidRDefault="00981844" w:rsidP="001D1693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3CF07CE0" w14:textId="77777777" w:rsidR="00981844" w:rsidRDefault="00981844" w:rsidP="001D1693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462316CF" w14:textId="77777777" w:rsidR="00981844" w:rsidRDefault="00981844" w:rsidP="001D1693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061149D" w14:textId="30001CAA" w:rsidR="00981844" w:rsidRDefault="00981844" w:rsidP="001D1693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0F587556" w14:textId="77777777" w:rsidR="00981844" w:rsidRDefault="00981844" w:rsidP="001D1693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4FD05FB" w14:textId="77777777" w:rsidR="00981844" w:rsidRDefault="00981844" w:rsidP="001D1693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4E77C80E" w14:textId="77777777" w:rsidR="00981844" w:rsidRDefault="00981844" w:rsidP="001D1693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B85F906" w14:textId="77777777" w:rsidR="00981844" w:rsidRDefault="00981844" w:rsidP="001D1693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22875B3" w14:textId="77777777" w:rsidR="00F562F1" w:rsidRDefault="00F562F1" w:rsidP="001D1693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4AFA51A5" w14:textId="0AA0F96B" w:rsidR="0084450C" w:rsidRDefault="0084450C" w:rsidP="001D1693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C8D2C8D" w14:textId="77777777" w:rsidR="004E7941" w:rsidRDefault="004E7941" w:rsidP="001D1693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35072712" w14:textId="71ACBADE" w:rsidR="003D7900" w:rsidRPr="001F5463" w:rsidRDefault="003C5470" w:rsidP="003C5470">
            <w:pPr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3C5470">
              <w:rPr>
                <w:rFonts w:ascii="Arial" w:hAnsi="Arial" w:cs="Arial"/>
                <w:b/>
                <w:sz w:val="18"/>
                <w:szCs w:val="18"/>
                <w:lang w:val="en-GB"/>
              </w:rPr>
              <w:lastRenderedPageBreak/>
              <w:t>2.</w:t>
            </w:r>
            <w:r w:rsidRPr="001F546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451DB3" w:rsidRPr="001F546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Circumstances where </w:t>
            </w:r>
            <w:r w:rsidR="00E00814" w:rsidRPr="001F546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fees apply but </w:t>
            </w:r>
            <w:r w:rsidR="00451DB3" w:rsidRPr="001F5463">
              <w:rPr>
                <w:rFonts w:ascii="Arial" w:hAnsi="Arial" w:cs="Arial"/>
                <w:b/>
                <w:sz w:val="18"/>
                <w:szCs w:val="18"/>
                <w:lang w:val="en-GB"/>
              </w:rPr>
              <w:t>student is eligible for exemption (cont.)</w:t>
            </w:r>
          </w:p>
        </w:tc>
        <w:tc>
          <w:tcPr>
            <w:tcW w:w="57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72AD1C" w14:textId="77777777" w:rsidR="00C60D51" w:rsidRPr="001238A9" w:rsidRDefault="00C60D51" w:rsidP="001D169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238A9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Geographical isolation</w:t>
            </w:r>
          </w:p>
          <w:p w14:paraId="71F97A16" w14:textId="7445F722" w:rsidR="00C60D51" w:rsidRPr="003A6FF0" w:rsidRDefault="00C60D51" w:rsidP="001D16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3A6FF0">
              <w:rPr>
                <w:rFonts w:ascii="Arial" w:hAnsi="Arial" w:cs="Arial"/>
                <w:sz w:val="18"/>
                <w:szCs w:val="18"/>
              </w:rPr>
              <w:t>he student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3A6FF0">
              <w:rPr>
                <w:rFonts w:ascii="Arial" w:hAnsi="Arial" w:cs="Arial"/>
                <w:sz w:val="18"/>
                <w:szCs w:val="18"/>
              </w:rPr>
              <w:t xml:space="preserve">lives in a </w:t>
            </w:r>
            <w:hyperlink r:id="rId15" w:anchor="sec.49" w:history="1">
              <w:r w:rsidRPr="003A6FF0">
                <w:rPr>
                  <w:rStyle w:val="Hyperlink"/>
                  <w:rFonts w:ascii="Arial" w:hAnsi="Arial" w:cs="Arial"/>
                  <w:sz w:val="18"/>
                  <w:szCs w:val="18"/>
                </w:rPr>
                <w:t>remote area</w:t>
              </w:r>
            </w:hyperlink>
            <w:r w:rsidRPr="003A6FF0">
              <w:rPr>
                <w:rFonts w:ascii="Arial" w:hAnsi="Arial" w:cs="Arial"/>
                <w:sz w:val="18"/>
                <w:szCs w:val="18"/>
              </w:rPr>
              <w:t xml:space="preserve"> as defined by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3A6FF0">
              <w:rPr>
                <w:rFonts w:ascii="Arial" w:hAnsi="Arial" w:cs="Arial"/>
                <w:sz w:val="18"/>
                <w:szCs w:val="18"/>
              </w:rPr>
              <w:t>ection 49 of the Act</w:t>
            </w:r>
            <w:r w:rsidR="00F06877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1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CD8C97" w14:textId="1B90830E" w:rsidR="00C60D51" w:rsidRPr="00BC371D" w:rsidRDefault="00C60D51" w:rsidP="001D169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371D">
              <w:rPr>
                <w:rFonts w:ascii="Arial" w:hAnsi="Arial" w:cs="Arial"/>
                <w:sz w:val="18"/>
                <w:szCs w:val="18"/>
                <w:lang w:val="en-GB"/>
              </w:rPr>
              <w:t>Evidence of principal place of residence</w:t>
            </w:r>
            <w:r w:rsidR="007C10AA">
              <w:rPr>
                <w:rFonts w:ascii="Arial" w:hAnsi="Arial" w:cs="Arial"/>
                <w:sz w:val="18"/>
                <w:szCs w:val="18"/>
                <w:lang w:val="en-GB"/>
              </w:rPr>
              <w:t xml:space="preserve"> must be provided</w:t>
            </w:r>
            <w:r w:rsidRPr="00BC371D">
              <w:rPr>
                <w:rFonts w:ascii="Arial" w:hAnsi="Arial" w:cs="Arial"/>
                <w:sz w:val="18"/>
                <w:szCs w:val="18"/>
                <w:lang w:val="en-GB"/>
              </w:rPr>
              <w:t xml:space="preserve"> (e.g. utilities bill</w:t>
            </w:r>
            <w:r w:rsidR="00123981">
              <w:rPr>
                <w:rFonts w:ascii="Arial" w:hAnsi="Arial" w:cs="Arial"/>
                <w:sz w:val="18"/>
                <w:szCs w:val="18"/>
                <w:lang w:val="en-GB"/>
              </w:rPr>
              <w:t xml:space="preserve"> dated within the last 12 months</w:t>
            </w:r>
            <w:r w:rsidRPr="00BC371D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  <w:r w:rsidR="00F06877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14:paraId="0A97343B" w14:textId="7349864B" w:rsidR="009E0532" w:rsidRPr="004C6CF5" w:rsidRDefault="00C60D51" w:rsidP="001D169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BC371D">
              <w:rPr>
                <w:rFonts w:ascii="Arial" w:hAnsi="Arial" w:cs="Arial"/>
                <w:sz w:val="18"/>
                <w:szCs w:val="18"/>
                <w:lang w:val="en-GB"/>
              </w:rPr>
              <w:t>Principal place of residence details will be verified by SDE against distances to schools and school transport routes.</w:t>
            </w:r>
          </w:p>
        </w:tc>
      </w:tr>
      <w:tr w:rsidR="00C60D51" w14:paraId="643BD894" w14:textId="77777777" w:rsidTr="001D1693">
        <w:tc>
          <w:tcPr>
            <w:tcW w:w="1990" w:type="dxa"/>
            <w:vMerge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63F0C2ED" w14:textId="77777777" w:rsidR="00C60D51" w:rsidRPr="00DC3A46" w:rsidRDefault="00C60D51" w:rsidP="001D1693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</w:p>
        </w:tc>
        <w:tc>
          <w:tcPr>
            <w:tcW w:w="5774" w:type="dxa"/>
            <w:shd w:val="clear" w:color="auto" w:fill="auto"/>
          </w:tcPr>
          <w:p w14:paraId="2672DFCE" w14:textId="77777777" w:rsidR="00C60D51" w:rsidRPr="001238A9" w:rsidRDefault="00C60D51" w:rsidP="001D169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1238A9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Medical </w:t>
            </w:r>
          </w:p>
          <w:p w14:paraId="2000B648" w14:textId="5EB6AFF3" w:rsidR="00C60D51" w:rsidRPr="00465099" w:rsidRDefault="00C60D51" w:rsidP="001D169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The student cannot attend a state school other than </w:t>
            </w:r>
            <w:r w:rsidR="00451DB3">
              <w:rPr>
                <w:rFonts w:ascii="Arial" w:hAnsi="Arial" w:cs="Arial"/>
                <w:sz w:val="18"/>
                <w:szCs w:val="18"/>
                <w:lang w:val="en-GB"/>
              </w:rPr>
              <w:t>an SDE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for more than 80 consecutive school days due to their state of healt</w:t>
            </w:r>
            <w:r w:rsidR="00CE2BEC">
              <w:rPr>
                <w:rFonts w:ascii="Arial" w:hAnsi="Arial" w:cs="Arial"/>
                <w:sz w:val="18"/>
                <w:szCs w:val="18"/>
                <w:lang w:val="en-GB"/>
              </w:rPr>
              <w:t>h</w:t>
            </w:r>
            <w:r w:rsidR="00F06877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  <w:tc>
          <w:tcPr>
            <w:tcW w:w="6189" w:type="dxa"/>
            <w:shd w:val="clear" w:color="auto" w:fill="auto"/>
          </w:tcPr>
          <w:p w14:paraId="565DB6D4" w14:textId="216C1D31" w:rsidR="009E0532" w:rsidRPr="00F562F1" w:rsidRDefault="00C60D51" w:rsidP="001D169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BC371D">
              <w:rPr>
                <w:rFonts w:ascii="Arial" w:hAnsi="Arial" w:cs="Arial"/>
                <w:sz w:val="18"/>
                <w:szCs w:val="18"/>
                <w:lang w:val="en-GB"/>
              </w:rPr>
              <w:t>A medical certificate</w:t>
            </w:r>
            <w:r w:rsidRPr="00BE4E8B">
              <w:rPr>
                <w:rStyle w:val="FootnoteReference"/>
                <w:rFonts w:ascii="Arial" w:hAnsi="Arial" w:cs="Arial"/>
                <w:sz w:val="18"/>
                <w:szCs w:val="18"/>
                <w:lang w:val="en-GB"/>
              </w:rPr>
              <w:footnoteReference w:id="1"/>
            </w:r>
            <w:r w:rsidRPr="00BC371D">
              <w:rPr>
                <w:rFonts w:ascii="Arial" w:hAnsi="Arial" w:cs="Arial"/>
                <w:sz w:val="18"/>
                <w:szCs w:val="18"/>
                <w:lang w:val="en-GB"/>
              </w:rPr>
              <w:t xml:space="preserve"> must be provided.</w:t>
            </w:r>
          </w:p>
        </w:tc>
      </w:tr>
      <w:tr w:rsidR="00C60D51" w14:paraId="23015323" w14:textId="77777777" w:rsidTr="001D1693">
        <w:tc>
          <w:tcPr>
            <w:tcW w:w="199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66F07F61" w14:textId="77777777" w:rsidR="00C60D51" w:rsidRPr="00DC3A46" w:rsidRDefault="00C60D51" w:rsidP="001D1693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</w:p>
        </w:tc>
        <w:tc>
          <w:tcPr>
            <w:tcW w:w="5774" w:type="dxa"/>
            <w:tcBorders>
              <w:bottom w:val="single" w:sz="4" w:space="0" w:color="auto"/>
            </w:tcBorders>
            <w:shd w:val="clear" w:color="auto" w:fill="auto"/>
          </w:tcPr>
          <w:p w14:paraId="33538F5F" w14:textId="77777777" w:rsidR="00C60D51" w:rsidRPr="001238A9" w:rsidRDefault="00C60D51" w:rsidP="001D1693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238A9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Itinerant</w:t>
            </w:r>
          </w:p>
          <w:p w14:paraId="27AFEEE7" w14:textId="45DAB0A5" w:rsidR="00C60D51" w:rsidRPr="003E0E00" w:rsidRDefault="00C60D51" w:rsidP="001D16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student has an itinerant lifestyle due to the student’s or parent’s occupation, as described by </w:t>
            </w:r>
            <w:hyperlink r:id="rId16" w:anchor="sec.53" w:history="1">
              <w:r w:rsidRPr="003E0E00">
                <w:rPr>
                  <w:rStyle w:val="Hyperlink"/>
                  <w:rFonts w:ascii="Arial" w:hAnsi="Arial" w:cs="Arial"/>
                  <w:sz w:val="18"/>
                  <w:szCs w:val="18"/>
                </w:rPr>
                <w:t>section 53(2)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of the Act</w:t>
            </w:r>
            <w:r w:rsidR="00F0687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189" w:type="dxa"/>
            <w:tcBorders>
              <w:bottom w:val="single" w:sz="4" w:space="0" w:color="auto"/>
            </w:tcBorders>
            <w:shd w:val="clear" w:color="auto" w:fill="auto"/>
          </w:tcPr>
          <w:p w14:paraId="013E9F9C" w14:textId="37C4FFEC" w:rsidR="007C10AA" w:rsidRPr="007C10AA" w:rsidRDefault="00C60D51" w:rsidP="001D169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7C10AA">
              <w:rPr>
                <w:rFonts w:ascii="Arial" w:hAnsi="Arial" w:cs="Arial"/>
                <w:sz w:val="18"/>
                <w:szCs w:val="18"/>
                <w:lang w:val="en-GB"/>
              </w:rPr>
              <w:t>Evidence of itinerant lifestyle must be provided</w:t>
            </w:r>
            <w:r w:rsidR="007C10AA">
              <w:rPr>
                <w:rFonts w:ascii="Arial" w:hAnsi="Arial" w:cs="Arial"/>
                <w:sz w:val="18"/>
                <w:szCs w:val="18"/>
                <w:lang w:val="en-GB"/>
              </w:rPr>
              <w:t xml:space="preserve"> (e.g.</w:t>
            </w:r>
            <w:r w:rsidRPr="007C10AA">
              <w:rPr>
                <w:rFonts w:ascii="Arial" w:hAnsi="Arial" w:cs="Arial"/>
                <w:sz w:val="18"/>
                <w:szCs w:val="18"/>
                <w:lang w:val="en-GB"/>
              </w:rPr>
              <w:t xml:space="preserve"> a letter from employer stating the parent is employed and their work schedule including dates and location(s)</w:t>
            </w:r>
            <w:r w:rsidR="004E7941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  <w:r w:rsidR="00F06877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14:paraId="236CE105" w14:textId="283F760E" w:rsidR="00981844" w:rsidRPr="004C6CF5" w:rsidRDefault="00C60D51" w:rsidP="001D169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7C10AA">
              <w:rPr>
                <w:rFonts w:ascii="Arial" w:hAnsi="Arial" w:cs="Arial"/>
                <w:sz w:val="18"/>
                <w:szCs w:val="18"/>
                <w:lang w:val="en-GB"/>
              </w:rPr>
              <w:t>A student in representative sport will be required to provide a letter from the State/National association confirming their selection and an itinerary of dates and locations.</w:t>
            </w:r>
          </w:p>
        </w:tc>
      </w:tr>
      <w:tr w:rsidR="00C60D51" w14:paraId="04A925CF" w14:textId="77777777" w:rsidTr="001D1693">
        <w:tc>
          <w:tcPr>
            <w:tcW w:w="1990" w:type="dxa"/>
            <w:vMerge/>
            <w:tcBorders>
              <w:top w:val="nil"/>
            </w:tcBorders>
            <w:shd w:val="clear" w:color="auto" w:fill="FBE4D5" w:themeFill="accent2" w:themeFillTint="33"/>
          </w:tcPr>
          <w:p w14:paraId="04DF22C9" w14:textId="77777777" w:rsidR="00C60D51" w:rsidRPr="00DC3A46" w:rsidRDefault="00C60D51" w:rsidP="001D1693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</w:p>
        </w:tc>
        <w:tc>
          <w:tcPr>
            <w:tcW w:w="5774" w:type="dxa"/>
            <w:shd w:val="clear" w:color="auto" w:fill="auto"/>
          </w:tcPr>
          <w:p w14:paraId="7F462DEA" w14:textId="77777777" w:rsidR="00C60D51" w:rsidRPr="001238A9" w:rsidRDefault="00C60D51" w:rsidP="001D169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1238A9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Suspension</w:t>
            </w:r>
          </w:p>
          <w:p w14:paraId="4C1DFF27" w14:textId="77777777" w:rsidR="00C60D51" w:rsidRDefault="00C60D51" w:rsidP="001D169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The student is suspended from a state school on a charge-related ground under </w:t>
            </w:r>
            <w:hyperlink r:id="rId17" w:anchor="sec.282" w:history="1">
              <w:r w:rsidR="006F41AD">
                <w:rPr>
                  <w:rStyle w:val="Hyperlink"/>
                  <w:rFonts w:ascii="Arial" w:hAnsi="Arial" w:cs="Arial"/>
                  <w:sz w:val="18"/>
                  <w:szCs w:val="18"/>
                  <w:lang w:val="en-GB"/>
                </w:rPr>
                <w:t>section 282</w:t>
              </w:r>
            </w:hyperlink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of the Act</w:t>
            </w:r>
            <w:r w:rsidR="00F06877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14:paraId="425C735A" w14:textId="4CC21149" w:rsidR="004E7941" w:rsidRPr="003E0E00" w:rsidRDefault="004E7941" w:rsidP="001D169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189" w:type="dxa"/>
            <w:shd w:val="clear" w:color="auto" w:fill="auto"/>
          </w:tcPr>
          <w:p w14:paraId="0615A04E" w14:textId="77777777" w:rsidR="00981844" w:rsidRPr="00940642" w:rsidRDefault="00C60D51" w:rsidP="001D169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7C10AA">
              <w:rPr>
                <w:rFonts w:ascii="Arial" w:hAnsi="Arial" w:cs="Arial"/>
                <w:sz w:val="18"/>
                <w:szCs w:val="18"/>
                <w:lang w:val="en-GB"/>
              </w:rPr>
              <w:t>Suspension information will be verified by SDE in consultation with the Regional Case Manager.</w:t>
            </w:r>
          </w:p>
          <w:p w14:paraId="6FC21B95" w14:textId="4A6454CA" w:rsidR="00C60D51" w:rsidRPr="007C10AA" w:rsidRDefault="00C60D51" w:rsidP="001D1693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D51" w14:paraId="49C05436" w14:textId="77777777" w:rsidTr="001D1693">
        <w:tc>
          <w:tcPr>
            <w:tcW w:w="1990" w:type="dxa"/>
            <w:vMerge/>
            <w:shd w:val="clear" w:color="auto" w:fill="FBE4D5" w:themeFill="accent2" w:themeFillTint="33"/>
          </w:tcPr>
          <w:p w14:paraId="681C2148" w14:textId="77777777" w:rsidR="00C60D51" w:rsidRPr="00DC3A46" w:rsidRDefault="00C60D51" w:rsidP="001D1693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</w:p>
        </w:tc>
        <w:tc>
          <w:tcPr>
            <w:tcW w:w="5774" w:type="dxa"/>
            <w:tcBorders>
              <w:bottom w:val="single" w:sz="4" w:space="0" w:color="auto"/>
            </w:tcBorders>
            <w:shd w:val="clear" w:color="auto" w:fill="auto"/>
          </w:tcPr>
          <w:p w14:paraId="005260A6" w14:textId="2924BFBA" w:rsidR="004E7941" w:rsidRPr="001238A9" w:rsidRDefault="00C60D51" w:rsidP="001D169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1238A9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Exclusion</w:t>
            </w:r>
          </w:p>
          <w:p w14:paraId="18FAAAF4" w14:textId="1E37C9FE" w:rsidR="00C60D51" w:rsidRDefault="00C60D51" w:rsidP="001D169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The student is excluded from a state school under </w:t>
            </w:r>
            <w:hyperlink r:id="rId18" w:anchor="sec.291" w:history="1">
              <w:r w:rsidRPr="005D3EFE">
                <w:rPr>
                  <w:rStyle w:val="Hyperlink"/>
                  <w:rFonts w:ascii="Arial" w:hAnsi="Arial" w:cs="Arial"/>
                  <w:sz w:val="18"/>
                  <w:szCs w:val="18"/>
                  <w:lang w:val="en-GB"/>
                </w:rPr>
                <w:t>section 291</w:t>
              </w:r>
            </w:hyperlink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of the Act, or from certain state schools under </w:t>
            </w:r>
            <w:hyperlink r:id="rId19" w:anchor="sec.298" w:history="1">
              <w:r w:rsidRPr="005D3EFE">
                <w:rPr>
                  <w:rStyle w:val="Hyperlink"/>
                  <w:rFonts w:ascii="Arial" w:hAnsi="Arial" w:cs="Arial"/>
                  <w:sz w:val="18"/>
                  <w:szCs w:val="18"/>
                  <w:lang w:val="en-GB"/>
                </w:rPr>
                <w:t>section 298</w:t>
              </w:r>
            </w:hyperlink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of the Act, </w:t>
            </w:r>
            <w:r w:rsidRPr="005D3EFE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and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would be considered to live in a </w:t>
            </w:r>
            <w:hyperlink r:id="rId20" w:anchor="sec.49" w:history="1">
              <w:r w:rsidRPr="005D3EFE">
                <w:rPr>
                  <w:rStyle w:val="Hyperlink"/>
                  <w:rFonts w:ascii="Arial" w:hAnsi="Arial" w:cs="Arial"/>
                  <w:sz w:val="18"/>
                  <w:szCs w:val="18"/>
                  <w:lang w:val="en-GB"/>
                </w:rPr>
                <w:t>remote area</w:t>
              </w:r>
            </w:hyperlink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(as per section 49) if the school/s from which the student is excluded were taken not to be the nearest applicable school for the definition </w:t>
            </w:r>
            <w:hyperlink r:id="rId21" w:anchor="sec.49" w:history="1">
              <w:r w:rsidRPr="006614C2">
                <w:rPr>
                  <w:rStyle w:val="Hyperlink"/>
                  <w:rFonts w:ascii="Arial" w:hAnsi="Arial" w:cs="Arial"/>
                  <w:sz w:val="18"/>
                  <w:szCs w:val="18"/>
                </w:rPr>
                <w:t>remote area</w:t>
              </w:r>
            </w:hyperlink>
            <w:r w:rsidR="001D1693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14:paraId="637D1D44" w14:textId="1D391A5F" w:rsidR="00C60D51" w:rsidRDefault="00C60D51" w:rsidP="001D169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O</w:t>
            </w:r>
            <w:r w:rsidR="00DD419D">
              <w:rPr>
                <w:rFonts w:ascii="Arial" w:hAnsi="Arial" w:cs="Arial"/>
                <w:sz w:val="18"/>
                <w:szCs w:val="18"/>
                <w:lang w:val="en-GB"/>
              </w:rPr>
              <w:t>R</w:t>
            </w:r>
          </w:p>
          <w:p w14:paraId="51D8B69C" w14:textId="1E804CC9" w:rsidR="009E0532" w:rsidRPr="005D3EFE" w:rsidRDefault="00C60D51" w:rsidP="001D169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The student is excluded from all state schools under </w:t>
            </w:r>
            <w:hyperlink r:id="rId22" w:anchor="sec.298" w:history="1">
              <w:r w:rsidRPr="005D3EFE">
                <w:rPr>
                  <w:rStyle w:val="Hyperlink"/>
                  <w:rFonts w:ascii="Arial" w:hAnsi="Arial" w:cs="Arial"/>
                  <w:sz w:val="18"/>
                  <w:szCs w:val="18"/>
                  <w:lang w:val="en-GB"/>
                </w:rPr>
                <w:t>section 298</w:t>
              </w:r>
            </w:hyperlink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of the Act</w:t>
            </w:r>
            <w:r w:rsidR="00F06877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  <w:tc>
          <w:tcPr>
            <w:tcW w:w="6189" w:type="dxa"/>
            <w:tcBorders>
              <w:bottom w:val="single" w:sz="4" w:space="0" w:color="auto"/>
            </w:tcBorders>
            <w:shd w:val="clear" w:color="auto" w:fill="auto"/>
          </w:tcPr>
          <w:p w14:paraId="623C98D7" w14:textId="0402FF88" w:rsidR="00C60D51" w:rsidRPr="006F41AD" w:rsidRDefault="00C60D51" w:rsidP="001D1693">
            <w:pPr>
              <w:pStyle w:val="ListParagraph"/>
              <w:numPr>
                <w:ilvl w:val="0"/>
                <w:numId w:val="7"/>
              </w:numPr>
              <w:rPr>
                <w:lang w:val="en-GB"/>
              </w:rPr>
            </w:pPr>
            <w:r w:rsidRPr="00940642">
              <w:rPr>
                <w:rFonts w:ascii="Arial" w:hAnsi="Arial" w:cs="Arial"/>
                <w:sz w:val="18"/>
                <w:szCs w:val="18"/>
                <w:lang w:val="en-GB"/>
              </w:rPr>
              <w:t>Exclusion information will be verified by SDE</w:t>
            </w:r>
            <w:r w:rsidR="00BC371D" w:rsidRPr="00940642">
              <w:rPr>
                <w:rFonts w:ascii="Arial" w:hAnsi="Arial" w:cs="Arial"/>
                <w:sz w:val="18"/>
                <w:szCs w:val="18"/>
                <w:lang w:val="en-GB"/>
              </w:rPr>
              <w:t xml:space="preserve"> in consultation with the Regional Case Manager.</w:t>
            </w:r>
          </w:p>
        </w:tc>
      </w:tr>
      <w:tr w:rsidR="00C60D51" w14:paraId="446EBD83" w14:textId="77777777" w:rsidTr="001D1693">
        <w:tc>
          <w:tcPr>
            <w:tcW w:w="1990" w:type="dxa"/>
            <w:vMerge/>
            <w:shd w:val="clear" w:color="auto" w:fill="FBE4D5" w:themeFill="accent2" w:themeFillTint="33"/>
          </w:tcPr>
          <w:p w14:paraId="726B7FDE" w14:textId="77777777" w:rsidR="00C60D51" w:rsidRPr="00DC3A46" w:rsidRDefault="00C60D51" w:rsidP="001D1693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</w:p>
        </w:tc>
        <w:tc>
          <w:tcPr>
            <w:tcW w:w="5774" w:type="dxa"/>
            <w:shd w:val="clear" w:color="auto" w:fill="auto"/>
          </w:tcPr>
          <w:p w14:paraId="1BEB5AF1" w14:textId="0BC85EAA" w:rsidR="00C60D51" w:rsidRPr="000C7A44" w:rsidRDefault="00C60D51" w:rsidP="001D169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1238A9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Carer or parental responsibility</w:t>
            </w:r>
          </w:p>
          <w:p w14:paraId="73318CC4" w14:textId="18000F15" w:rsidR="00C60D51" w:rsidRDefault="00C60D51" w:rsidP="001D169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The student has </w:t>
            </w:r>
            <w:r w:rsidR="006F41AD">
              <w:rPr>
                <w:rFonts w:ascii="Arial" w:hAnsi="Arial" w:cs="Arial"/>
                <w:sz w:val="18"/>
                <w:szCs w:val="18"/>
                <w:lang w:val="en-GB"/>
              </w:rPr>
              <w:t xml:space="preserve">parental or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carer responsibilities which preclude regular attendance at a state school</w:t>
            </w:r>
            <w:r w:rsidR="00F06877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14:paraId="2F0CA066" w14:textId="53F58DBB" w:rsidR="009E0532" w:rsidRPr="005D3EFE" w:rsidRDefault="009E0532" w:rsidP="001D169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Del="009E0532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6189" w:type="dxa"/>
            <w:shd w:val="clear" w:color="auto" w:fill="auto"/>
          </w:tcPr>
          <w:p w14:paraId="6F2A3636" w14:textId="77777777" w:rsidR="004C6CF5" w:rsidRDefault="004C6CF5" w:rsidP="001D169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Examples of evidence for parental responsibilities could include the child’s birth certificate, Medicare card with child’s name listed, or Centrelink documentation.</w:t>
            </w:r>
          </w:p>
          <w:p w14:paraId="12724286" w14:textId="796BB467" w:rsidR="00F06877" w:rsidRPr="00940642" w:rsidRDefault="001F01E4" w:rsidP="001D169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Evidence for carer responsibilities could include a</w:t>
            </w:r>
            <w:r w:rsidR="00C60D51" w:rsidRPr="00940642">
              <w:rPr>
                <w:rFonts w:ascii="Arial" w:hAnsi="Arial" w:cs="Arial"/>
                <w:sz w:val="18"/>
                <w:szCs w:val="18"/>
                <w:lang w:val="en-GB"/>
              </w:rPr>
              <w:t xml:space="preserve"> medical certificate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dated within the last 12 months </w:t>
            </w:r>
            <w:r w:rsidR="00C60D51" w:rsidRPr="00940642">
              <w:rPr>
                <w:rFonts w:ascii="Arial" w:hAnsi="Arial" w:cs="Arial"/>
                <w:sz w:val="18"/>
                <w:szCs w:val="18"/>
                <w:lang w:val="en-GB"/>
              </w:rPr>
              <w:t>confirming carer responsibilities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or Centrelink documentation</w:t>
            </w:r>
            <w:r w:rsidR="00C60D51" w:rsidRPr="00940642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</w:tr>
      <w:tr w:rsidR="00C60D51" w14:paraId="24E6DFD7" w14:textId="77777777" w:rsidTr="001D1693">
        <w:tc>
          <w:tcPr>
            <w:tcW w:w="1990" w:type="dxa"/>
            <w:vMerge/>
            <w:shd w:val="clear" w:color="auto" w:fill="FBE4D5" w:themeFill="accent2" w:themeFillTint="33"/>
          </w:tcPr>
          <w:p w14:paraId="67691238" w14:textId="77777777" w:rsidR="00C60D51" w:rsidRPr="00DC3A46" w:rsidRDefault="00C60D51" w:rsidP="001D1693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</w:p>
        </w:tc>
        <w:tc>
          <w:tcPr>
            <w:tcW w:w="5774" w:type="dxa"/>
            <w:tcBorders>
              <w:bottom w:val="single" w:sz="4" w:space="0" w:color="auto"/>
            </w:tcBorders>
            <w:shd w:val="clear" w:color="auto" w:fill="auto"/>
          </w:tcPr>
          <w:p w14:paraId="44ECE10F" w14:textId="712F05B8" w:rsidR="00C60D51" w:rsidRPr="001238A9" w:rsidRDefault="00C60D51" w:rsidP="001D169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1238A9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Prospective </w:t>
            </w:r>
            <w:r w:rsidR="00451DB3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m</w:t>
            </w:r>
            <w:r w:rsidRPr="001238A9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ature age students</w:t>
            </w:r>
          </w:p>
          <w:p w14:paraId="15EA1935" w14:textId="0227FF23" w:rsidR="003D7900" w:rsidRDefault="00C60D51" w:rsidP="001D169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The student has been refused enrolment as a mature age student at a mature age state school</w:t>
            </w:r>
            <w:r w:rsidR="001D1693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14:paraId="6C2CFF91" w14:textId="77777777" w:rsidR="003D7900" w:rsidRDefault="003D7900" w:rsidP="001D169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OR</w:t>
            </w:r>
          </w:p>
          <w:p w14:paraId="4E82D9CF" w14:textId="04FDF38D" w:rsidR="00C60D51" w:rsidRPr="00465099" w:rsidRDefault="003D7900" w:rsidP="001D169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</w:t>
            </w:r>
            <w:r w:rsidR="00C60D51">
              <w:rPr>
                <w:rFonts w:ascii="Arial" w:hAnsi="Arial" w:cs="Arial"/>
                <w:sz w:val="18"/>
                <w:szCs w:val="18"/>
                <w:lang w:val="en-GB"/>
              </w:rPr>
              <w:t>he student’s principal place of residence is more than 16 kilometres from the nearest mature age state school</w:t>
            </w:r>
            <w:r w:rsidR="00F06877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  <w:tc>
          <w:tcPr>
            <w:tcW w:w="6189" w:type="dxa"/>
            <w:tcBorders>
              <w:bottom w:val="single" w:sz="4" w:space="0" w:color="auto"/>
            </w:tcBorders>
            <w:shd w:val="clear" w:color="auto" w:fill="auto"/>
          </w:tcPr>
          <w:p w14:paraId="1C22F5DB" w14:textId="1D75134F" w:rsidR="007C10AA" w:rsidRPr="007C10AA" w:rsidRDefault="00C60D51" w:rsidP="001D169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7C10AA">
              <w:rPr>
                <w:rFonts w:ascii="Arial" w:hAnsi="Arial" w:cs="Arial"/>
                <w:sz w:val="18"/>
                <w:szCs w:val="18"/>
                <w:lang w:val="en-GB"/>
              </w:rPr>
              <w:t>Parent or student must provide evidence that the student was refused enrolment at a mature age state school</w:t>
            </w:r>
            <w:r w:rsidR="00F06877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14:paraId="106355DE" w14:textId="77777777" w:rsidR="00E33775" w:rsidRPr="00940642" w:rsidRDefault="00E33775" w:rsidP="001D169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9E036C" w14:textId="77777777" w:rsidR="00E33775" w:rsidRPr="00940642" w:rsidRDefault="00E33775" w:rsidP="001D169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EAC07B" w14:textId="0B62034D" w:rsidR="00E33775" w:rsidRPr="004C6CF5" w:rsidRDefault="00C60D51" w:rsidP="001D169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7C10AA">
              <w:rPr>
                <w:rFonts w:ascii="Arial" w:hAnsi="Arial" w:cs="Arial"/>
                <w:sz w:val="18"/>
                <w:szCs w:val="18"/>
                <w:lang w:val="en-GB"/>
              </w:rPr>
              <w:t>Evidence of principal place of residence must be provided and will be verified by SDE.</w:t>
            </w:r>
          </w:p>
        </w:tc>
      </w:tr>
      <w:tr w:rsidR="00C60D51" w14:paraId="71B036BB" w14:textId="77777777" w:rsidTr="001D1693">
        <w:tc>
          <w:tcPr>
            <w:tcW w:w="1990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825F493" w14:textId="77777777" w:rsidR="00C60D51" w:rsidRPr="00DC3A46" w:rsidRDefault="00C60D51" w:rsidP="001D1693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</w:p>
        </w:tc>
        <w:tc>
          <w:tcPr>
            <w:tcW w:w="5774" w:type="dxa"/>
            <w:shd w:val="clear" w:color="auto" w:fill="auto"/>
          </w:tcPr>
          <w:p w14:paraId="73249174" w14:textId="77777777" w:rsidR="00C60D51" w:rsidRPr="001238A9" w:rsidRDefault="00C60D51" w:rsidP="001D169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1238A9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Corrective students</w:t>
            </w:r>
          </w:p>
          <w:p w14:paraId="06A01400" w14:textId="0DC36B9D" w:rsidR="00F06877" w:rsidRDefault="00C60D51" w:rsidP="001D169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The student is in custody at a corrective services facility under the </w:t>
            </w:r>
            <w:hyperlink r:id="rId23" w:history="1">
              <w:r w:rsidRPr="00660C5F">
                <w:rPr>
                  <w:rStyle w:val="Hyperlink"/>
                  <w:rFonts w:ascii="Arial" w:hAnsi="Arial" w:cs="Arial"/>
                  <w:i/>
                  <w:sz w:val="18"/>
                  <w:szCs w:val="18"/>
                  <w:lang w:val="en-GB"/>
                </w:rPr>
                <w:t>Corrective Services Act 2006</w:t>
              </w:r>
            </w:hyperlink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14:paraId="5CECF81D" w14:textId="4AED542F" w:rsidR="00F06877" w:rsidRPr="00660C5F" w:rsidRDefault="00DD419D" w:rsidP="001D169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D419D">
              <w:rPr>
                <w:rFonts w:ascii="Arial" w:eastAsia="Times New Roman" w:hAnsi="Arial" w:cs="Arial"/>
                <w:b/>
                <w:sz w:val="18"/>
                <w:szCs w:val="18"/>
                <w:lang w:val="en-GB" w:eastAsia="en-US"/>
              </w:rPr>
              <w:t>NB</w:t>
            </w:r>
            <w:r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: </w:t>
            </w:r>
            <w:r w:rsidR="004C6CF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Fee e</w:t>
            </w:r>
            <w:r w:rsidR="00F06877" w:rsidRPr="007C10AA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xemption may only be granted for the period in which the student is in custody</w:t>
            </w:r>
            <w:r w:rsidR="00F06877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.</w:t>
            </w:r>
          </w:p>
        </w:tc>
        <w:tc>
          <w:tcPr>
            <w:tcW w:w="6189" w:type="dxa"/>
            <w:shd w:val="clear" w:color="auto" w:fill="auto"/>
          </w:tcPr>
          <w:p w14:paraId="299E38D8" w14:textId="1B90074D" w:rsidR="00981844" w:rsidRPr="00981844" w:rsidRDefault="007C10AA" w:rsidP="001D1693">
            <w:pPr>
              <w:pStyle w:val="ListParagraph"/>
              <w:numPr>
                <w:ilvl w:val="0"/>
                <w:numId w:val="10"/>
              </w:numPr>
              <w:rPr>
                <w:lang w:val="en-GB" w:eastAsia="en-US"/>
              </w:rPr>
            </w:pPr>
            <w:r w:rsidRPr="00940642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SDE will verify </w:t>
            </w:r>
            <w:r w:rsidR="00762B76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that the </w:t>
            </w:r>
            <w:r w:rsidRPr="00940642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student is in custody.</w:t>
            </w:r>
          </w:p>
          <w:p w14:paraId="09F75CCF" w14:textId="164145A1" w:rsidR="000C7A44" w:rsidRPr="000C7A44" w:rsidRDefault="000C7A44" w:rsidP="001D1693">
            <w:pPr>
              <w:pStyle w:val="ListParagraph"/>
              <w:ind w:left="360"/>
              <w:rPr>
                <w:lang w:val="en-GB" w:eastAsia="en-US"/>
              </w:rPr>
            </w:pPr>
          </w:p>
        </w:tc>
      </w:tr>
      <w:tr w:rsidR="00DA402D" w14:paraId="32DDE9BC" w14:textId="77777777" w:rsidTr="001D1693">
        <w:tc>
          <w:tcPr>
            <w:tcW w:w="199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1030935B" w14:textId="3FCA5E22" w:rsidR="00DA402D" w:rsidRPr="001F5463" w:rsidRDefault="003C5470" w:rsidP="003C5470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3. </w:t>
            </w:r>
            <w:r w:rsidR="00DA402D" w:rsidRPr="001F546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Circumstances where fee is payable and </w:t>
            </w:r>
            <w:r w:rsidR="003D7900" w:rsidRPr="001F5463">
              <w:rPr>
                <w:rFonts w:ascii="Arial" w:hAnsi="Arial" w:cs="Arial"/>
                <w:b/>
                <w:sz w:val="18"/>
                <w:szCs w:val="18"/>
                <w:lang w:val="en-GB"/>
              </w:rPr>
              <w:t>student</w:t>
            </w:r>
            <w:r w:rsidR="00DA402D" w:rsidRPr="001F546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is NOT eligible for exemption </w:t>
            </w:r>
          </w:p>
          <w:p w14:paraId="0D00BC52" w14:textId="77777777" w:rsidR="00F66B0A" w:rsidRDefault="00F66B0A" w:rsidP="001F5463">
            <w:pPr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</w:p>
          <w:p w14:paraId="2CA86C6C" w14:textId="289A58AF" w:rsidR="00C94C2D" w:rsidRDefault="00C94C2D" w:rsidP="0033185C">
            <w:pPr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</w:p>
          <w:p w14:paraId="4448EB7E" w14:textId="3C7F2A46" w:rsidR="00981844" w:rsidRDefault="00981844" w:rsidP="0033185C">
            <w:pPr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</w:p>
          <w:p w14:paraId="75858FAD" w14:textId="657DA0EA" w:rsidR="00981844" w:rsidRDefault="00981844" w:rsidP="0033185C">
            <w:pPr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</w:p>
          <w:p w14:paraId="3291C16F" w14:textId="5454259A" w:rsidR="00C94C2D" w:rsidRPr="00660C5F" w:rsidRDefault="00C94C2D" w:rsidP="0033185C">
            <w:pPr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</w:p>
        </w:tc>
        <w:tc>
          <w:tcPr>
            <w:tcW w:w="577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B67BB8" w14:textId="5F22EFF3" w:rsidR="00DA402D" w:rsidRPr="001238A9" w:rsidRDefault="00DA402D" w:rsidP="0033185C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1238A9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Home-based student</w:t>
            </w:r>
            <w:r w:rsidR="003C5470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(by-choice)</w:t>
            </w:r>
          </w:p>
          <w:p w14:paraId="1FB504C2" w14:textId="7FE19D54" w:rsidR="009E0532" w:rsidRPr="004C6CF5" w:rsidRDefault="00C3286F" w:rsidP="0033185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The s</w:t>
            </w:r>
            <w:r w:rsidR="00DA402D">
              <w:rPr>
                <w:rFonts w:ascii="Arial" w:hAnsi="Arial" w:cs="Arial"/>
                <w:sz w:val="18"/>
                <w:szCs w:val="18"/>
                <w:lang w:val="en-GB"/>
              </w:rPr>
              <w:t>tudent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is</w:t>
            </w:r>
            <w:r w:rsidR="00DA402D">
              <w:rPr>
                <w:rFonts w:ascii="Arial" w:hAnsi="Arial" w:cs="Arial"/>
                <w:sz w:val="18"/>
                <w:szCs w:val="18"/>
                <w:lang w:val="en-GB"/>
              </w:rPr>
              <w:t xml:space="preserve"> enrolled in an SDE although they have access to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a local </w:t>
            </w:r>
            <w:r w:rsidR="004C6CF5">
              <w:rPr>
                <w:rFonts w:ascii="Arial" w:hAnsi="Arial" w:cs="Arial"/>
                <w:sz w:val="18"/>
                <w:szCs w:val="18"/>
                <w:lang w:val="en-GB"/>
              </w:rPr>
              <w:t xml:space="preserve">state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school</w:t>
            </w:r>
            <w:r w:rsidR="00DA402D">
              <w:rPr>
                <w:rFonts w:ascii="Arial" w:hAnsi="Arial" w:cs="Arial"/>
                <w:sz w:val="18"/>
                <w:szCs w:val="18"/>
                <w:lang w:val="en-GB"/>
              </w:rPr>
              <w:t xml:space="preserve"> (also known as ‘by-choice’ students)</w:t>
            </w:r>
            <w:r w:rsidR="00F06877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  <w:tc>
          <w:tcPr>
            <w:tcW w:w="61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8441D1" w14:textId="27E434DD" w:rsidR="00DA402D" w:rsidRPr="007C10AA" w:rsidRDefault="00DA402D" w:rsidP="0033185C">
            <w:pPr>
              <w:pStyle w:val="ListParagraph"/>
              <w:numPr>
                <w:ilvl w:val="0"/>
                <w:numId w:val="10"/>
              </w:numPr>
              <w:rPr>
                <w:rFonts w:ascii="Webdings" w:hAnsi="Webdings" w:cs="Calibri" w:hint="eastAsia"/>
                <w:sz w:val="18"/>
                <w:szCs w:val="18"/>
              </w:rPr>
            </w:pPr>
            <w:r w:rsidRPr="007C10AA">
              <w:rPr>
                <w:rFonts w:ascii="Arial" w:hAnsi="Arial" w:cs="Arial"/>
                <w:sz w:val="18"/>
                <w:szCs w:val="18"/>
              </w:rPr>
              <w:t xml:space="preserve">N/A – Not eligible for exemption under </w:t>
            </w:r>
            <w:hyperlink r:id="rId24" w:anchor="sec.53" w:history="1">
              <w:r w:rsidR="00300482">
                <w:rPr>
                  <w:rStyle w:val="Hyperlink"/>
                  <w:rFonts w:ascii="Arial" w:hAnsi="Arial" w:cs="Arial"/>
                  <w:sz w:val="18"/>
                  <w:szCs w:val="18"/>
                  <w:lang w:val="en-GB"/>
                </w:rPr>
                <w:t>s</w:t>
              </w:r>
              <w:r w:rsidRPr="007C10AA">
                <w:rPr>
                  <w:rStyle w:val="Hyperlink"/>
                  <w:rFonts w:ascii="Arial" w:hAnsi="Arial" w:cs="Arial"/>
                  <w:sz w:val="18"/>
                  <w:szCs w:val="18"/>
                  <w:lang w:val="en-GB"/>
                </w:rPr>
                <w:t>ection 53</w:t>
              </w:r>
            </w:hyperlink>
            <w:r w:rsidRPr="007C10AA">
              <w:rPr>
                <w:rFonts w:ascii="Arial" w:hAnsi="Arial" w:cs="Arial"/>
                <w:sz w:val="18"/>
                <w:szCs w:val="18"/>
                <w:lang w:val="en-GB"/>
              </w:rPr>
              <w:t xml:space="preserve"> of the </w:t>
            </w:r>
            <w:r w:rsidR="00F66B0A" w:rsidRPr="007C10AA">
              <w:rPr>
                <w:rFonts w:ascii="Arial" w:hAnsi="Arial" w:cs="Arial"/>
                <w:sz w:val="18"/>
                <w:szCs w:val="18"/>
                <w:lang w:val="en-GB"/>
              </w:rPr>
              <w:t>Act</w:t>
            </w:r>
            <w:r w:rsidR="00F06877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</w:tr>
      <w:tr w:rsidR="00DA402D" w14:paraId="287F6A41" w14:textId="77777777" w:rsidTr="001D1693">
        <w:tc>
          <w:tcPr>
            <w:tcW w:w="199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065CA00D" w14:textId="77777777" w:rsidR="00DA402D" w:rsidRDefault="00DA402D" w:rsidP="001D1693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</w:p>
        </w:tc>
        <w:tc>
          <w:tcPr>
            <w:tcW w:w="57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C578A89" w14:textId="48D19D6D" w:rsidR="00DA402D" w:rsidRPr="00940642" w:rsidRDefault="00DA402D" w:rsidP="001D169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238A9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Temporary travel</w:t>
            </w:r>
          </w:p>
          <w:p w14:paraId="256A8D47" w14:textId="58CA8265" w:rsidR="009E0532" w:rsidRPr="004C6CF5" w:rsidRDefault="00E33775" w:rsidP="001D1693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33775">
              <w:rPr>
                <w:rFonts w:ascii="Arial" w:hAnsi="Arial" w:cs="Arial"/>
                <w:sz w:val="18"/>
                <w:szCs w:val="18"/>
                <w:lang w:val="en-GB"/>
              </w:rPr>
              <w:t>T</w:t>
            </w:r>
            <w:r w:rsidR="00DA402D" w:rsidRPr="00E33775">
              <w:rPr>
                <w:rFonts w:ascii="Arial" w:hAnsi="Arial" w:cs="Arial"/>
                <w:sz w:val="18"/>
                <w:szCs w:val="18"/>
                <w:lang w:val="en-GB"/>
              </w:rPr>
              <w:t xml:space="preserve">ravel that does not meet requirements for exemption under </w:t>
            </w:r>
            <w:hyperlink r:id="rId25" w:anchor="sec.53" w:history="1">
              <w:r w:rsidR="00DA402D" w:rsidRPr="00E33775">
                <w:rPr>
                  <w:rStyle w:val="Hyperlink"/>
                  <w:rFonts w:ascii="Arial" w:hAnsi="Arial" w:cs="Arial"/>
                  <w:sz w:val="18"/>
                  <w:szCs w:val="18"/>
                  <w:lang w:val="en-GB"/>
                </w:rPr>
                <w:t>section 53</w:t>
              </w:r>
            </w:hyperlink>
            <w:r w:rsidR="00DA402D" w:rsidRPr="00E33775">
              <w:rPr>
                <w:rFonts w:ascii="Arial" w:hAnsi="Arial" w:cs="Arial"/>
                <w:sz w:val="18"/>
                <w:szCs w:val="18"/>
                <w:lang w:val="en-GB"/>
              </w:rPr>
              <w:t xml:space="preserve"> of the Act</w:t>
            </w:r>
            <w:r w:rsidR="00F06877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  <w:tc>
          <w:tcPr>
            <w:tcW w:w="618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3BA98AA" w14:textId="7612430D" w:rsidR="00DA402D" w:rsidRPr="007C10AA" w:rsidRDefault="00DA402D" w:rsidP="001D1693">
            <w:pPr>
              <w:pStyle w:val="ListParagraph"/>
              <w:numPr>
                <w:ilvl w:val="0"/>
                <w:numId w:val="10"/>
              </w:numPr>
              <w:rPr>
                <w:rFonts w:ascii="Webdings" w:hAnsi="Webdings" w:cs="Calibri" w:hint="eastAsia"/>
                <w:sz w:val="18"/>
                <w:szCs w:val="18"/>
              </w:rPr>
            </w:pPr>
            <w:r w:rsidRPr="007C10AA">
              <w:rPr>
                <w:rFonts w:ascii="Arial" w:hAnsi="Arial" w:cs="Arial"/>
                <w:sz w:val="18"/>
                <w:szCs w:val="18"/>
              </w:rPr>
              <w:t xml:space="preserve">N/A – Not eligible for exemption under </w:t>
            </w:r>
            <w:hyperlink r:id="rId26" w:anchor="sec.53" w:history="1">
              <w:r w:rsidR="00300482">
                <w:rPr>
                  <w:rStyle w:val="Hyperlink"/>
                  <w:rFonts w:ascii="Arial" w:hAnsi="Arial" w:cs="Arial"/>
                  <w:sz w:val="18"/>
                  <w:szCs w:val="18"/>
                  <w:lang w:val="en-GB"/>
                </w:rPr>
                <w:t>s</w:t>
              </w:r>
              <w:r w:rsidRPr="007C10AA">
                <w:rPr>
                  <w:rStyle w:val="Hyperlink"/>
                  <w:rFonts w:ascii="Arial" w:hAnsi="Arial" w:cs="Arial"/>
                  <w:sz w:val="18"/>
                  <w:szCs w:val="18"/>
                  <w:lang w:val="en-GB"/>
                </w:rPr>
                <w:t>ection 53</w:t>
              </w:r>
            </w:hyperlink>
            <w:r w:rsidRPr="007C10AA">
              <w:rPr>
                <w:rFonts w:ascii="Arial" w:hAnsi="Arial" w:cs="Arial"/>
                <w:sz w:val="18"/>
                <w:szCs w:val="18"/>
                <w:lang w:val="en-GB"/>
              </w:rPr>
              <w:t xml:space="preserve"> of the </w:t>
            </w:r>
            <w:r w:rsidR="00F66B0A" w:rsidRPr="007C10AA">
              <w:rPr>
                <w:rFonts w:ascii="Arial" w:hAnsi="Arial" w:cs="Arial"/>
                <w:sz w:val="18"/>
                <w:szCs w:val="18"/>
                <w:lang w:val="en-GB"/>
              </w:rPr>
              <w:t>Act</w:t>
            </w:r>
            <w:r w:rsidR="00F06877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</w:tr>
      <w:tr w:rsidR="00DA402D" w14:paraId="67304048" w14:textId="77777777" w:rsidTr="001D1693">
        <w:tc>
          <w:tcPr>
            <w:tcW w:w="1990" w:type="dxa"/>
            <w:vMerge/>
            <w:shd w:val="clear" w:color="auto" w:fill="EDEDED" w:themeFill="accent3" w:themeFillTint="33"/>
          </w:tcPr>
          <w:p w14:paraId="3B1C17CE" w14:textId="77777777" w:rsidR="00DA402D" w:rsidRPr="004B4C30" w:rsidRDefault="00DA402D" w:rsidP="001D1693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</w:p>
        </w:tc>
        <w:tc>
          <w:tcPr>
            <w:tcW w:w="5774" w:type="dxa"/>
            <w:shd w:val="clear" w:color="auto" w:fill="auto"/>
          </w:tcPr>
          <w:p w14:paraId="3FCA0BA8" w14:textId="491D3A79" w:rsidR="00DA402D" w:rsidRPr="001238A9" w:rsidRDefault="00DA402D" w:rsidP="001D169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1238A9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Non-state school student in </w:t>
            </w:r>
            <w:r w:rsidR="00E00814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Y</w:t>
            </w:r>
            <w:r w:rsidRPr="001238A9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ear</w:t>
            </w:r>
            <w:r w:rsidR="00E00814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s</w:t>
            </w:r>
            <w:r w:rsidRPr="001238A9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8 </w:t>
            </w:r>
            <w:r w:rsidR="00DD419D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to</w:t>
            </w:r>
            <w:r w:rsidRPr="001238A9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12 studying subject</w:t>
            </w:r>
            <w:r w:rsidR="00B5546D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/s</w:t>
            </w:r>
            <w:r w:rsidRPr="001238A9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other than LOTE at SDE</w:t>
            </w:r>
          </w:p>
          <w:p w14:paraId="452E135B" w14:textId="2B6ACC71" w:rsidR="009E0532" w:rsidRPr="004C6CF5" w:rsidRDefault="0043257F" w:rsidP="001D169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 n</w:t>
            </w:r>
            <w:r w:rsidR="00DA402D" w:rsidRPr="00465099">
              <w:rPr>
                <w:rFonts w:ascii="Arial" w:hAnsi="Arial" w:cs="Arial"/>
                <w:sz w:val="18"/>
                <w:szCs w:val="18"/>
                <w:lang w:val="en-GB"/>
              </w:rPr>
              <w:t xml:space="preserve">on-state school student (including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a </w:t>
            </w:r>
            <w:r w:rsidRPr="00465099">
              <w:rPr>
                <w:rFonts w:ascii="Arial" w:hAnsi="Arial" w:cs="Arial"/>
                <w:sz w:val="18"/>
                <w:szCs w:val="18"/>
                <w:lang w:val="en-GB"/>
              </w:rPr>
              <w:t xml:space="preserve">student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from </w:t>
            </w:r>
            <w:r w:rsidRPr="00465099">
              <w:rPr>
                <w:rFonts w:ascii="Arial" w:hAnsi="Arial" w:cs="Arial"/>
                <w:sz w:val="18"/>
                <w:szCs w:val="18"/>
                <w:lang w:val="en-GB"/>
              </w:rPr>
              <w:t>interstate or overseas</w:t>
            </w:r>
            <w:r w:rsidR="00DA402D" w:rsidRPr="00465099">
              <w:rPr>
                <w:rFonts w:ascii="Arial" w:hAnsi="Arial" w:cs="Arial"/>
                <w:sz w:val="18"/>
                <w:szCs w:val="18"/>
                <w:lang w:val="en-GB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in Years 8 </w:t>
            </w:r>
            <w:r w:rsidR="00DD419D">
              <w:rPr>
                <w:rFonts w:ascii="Arial" w:hAnsi="Arial" w:cs="Arial"/>
                <w:sz w:val="18"/>
                <w:szCs w:val="18"/>
                <w:lang w:val="en-GB"/>
              </w:rPr>
              <w:t xml:space="preserve">to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12 </w:t>
            </w:r>
            <w:r w:rsidR="00DA402D" w:rsidRPr="00465099">
              <w:rPr>
                <w:rFonts w:ascii="Arial" w:hAnsi="Arial" w:cs="Arial"/>
                <w:sz w:val="18"/>
                <w:szCs w:val="18"/>
                <w:lang w:val="en-GB"/>
              </w:rPr>
              <w:t xml:space="preserve">who is enrolled to undertake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a </w:t>
            </w:r>
            <w:r w:rsidRPr="00465099">
              <w:rPr>
                <w:rFonts w:ascii="Arial" w:hAnsi="Arial" w:cs="Arial"/>
                <w:sz w:val="18"/>
                <w:szCs w:val="18"/>
                <w:lang w:val="en-GB"/>
              </w:rPr>
              <w:t>subject other than LOTE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. </w:t>
            </w:r>
          </w:p>
        </w:tc>
        <w:tc>
          <w:tcPr>
            <w:tcW w:w="6189" w:type="dxa"/>
            <w:shd w:val="clear" w:color="auto" w:fill="auto"/>
          </w:tcPr>
          <w:p w14:paraId="256258A6" w14:textId="67C9B999" w:rsidR="00DA402D" w:rsidRPr="00940642" w:rsidRDefault="00DA402D" w:rsidP="001D1693">
            <w:pPr>
              <w:pStyle w:val="ListParagraph"/>
              <w:numPr>
                <w:ilvl w:val="0"/>
                <w:numId w:val="10"/>
              </w:numPr>
              <w:rPr>
                <w:rFonts w:ascii="Webdings" w:hAnsi="Webdings" w:cs="Calibri" w:hint="eastAsia"/>
                <w:sz w:val="18"/>
                <w:szCs w:val="18"/>
              </w:rPr>
            </w:pPr>
            <w:r w:rsidRPr="007C10AA">
              <w:rPr>
                <w:rFonts w:ascii="Arial" w:hAnsi="Arial" w:cs="Arial"/>
                <w:sz w:val="18"/>
                <w:szCs w:val="18"/>
              </w:rPr>
              <w:t xml:space="preserve">N/A – Not eligible for exemption under </w:t>
            </w:r>
            <w:hyperlink r:id="rId27" w:anchor="sec.53" w:history="1">
              <w:r w:rsidR="00300482">
                <w:rPr>
                  <w:rStyle w:val="Hyperlink"/>
                  <w:rFonts w:ascii="Arial" w:hAnsi="Arial" w:cs="Arial"/>
                  <w:sz w:val="18"/>
                  <w:szCs w:val="18"/>
                  <w:lang w:val="en-GB"/>
                </w:rPr>
                <w:t>s</w:t>
              </w:r>
              <w:r w:rsidRPr="007C10AA">
                <w:rPr>
                  <w:rStyle w:val="Hyperlink"/>
                  <w:rFonts w:ascii="Arial" w:hAnsi="Arial" w:cs="Arial"/>
                  <w:sz w:val="18"/>
                  <w:szCs w:val="18"/>
                  <w:lang w:val="en-GB"/>
                </w:rPr>
                <w:t>ection 53</w:t>
              </w:r>
            </w:hyperlink>
            <w:r w:rsidRPr="007C10AA">
              <w:rPr>
                <w:rFonts w:ascii="Arial" w:hAnsi="Arial" w:cs="Arial"/>
                <w:sz w:val="18"/>
                <w:szCs w:val="18"/>
                <w:lang w:val="en-GB"/>
              </w:rPr>
              <w:t xml:space="preserve"> of the </w:t>
            </w:r>
            <w:r w:rsidR="00F66B0A" w:rsidRPr="007C10AA">
              <w:rPr>
                <w:rFonts w:ascii="Arial" w:hAnsi="Arial" w:cs="Arial"/>
                <w:sz w:val="18"/>
                <w:szCs w:val="18"/>
                <w:lang w:val="en-GB"/>
              </w:rPr>
              <w:t>Act</w:t>
            </w:r>
            <w:r w:rsidR="00F06877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14:paraId="13A97668" w14:textId="7BA288AD" w:rsidR="00981844" w:rsidRPr="007C10AA" w:rsidRDefault="00981844" w:rsidP="001D1693">
            <w:pPr>
              <w:pStyle w:val="ListParagraph"/>
              <w:ind w:left="360"/>
              <w:rPr>
                <w:rFonts w:ascii="Webdings" w:hAnsi="Webdings" w:cs="Calibri" w:hint="eastAsia"/>
                <w:sz w:val="18"/>
                <w:szCs w:val="18"/>
              </w:rPr>
            </w:pPr>
          </w:p>
        </w:tc>
      </w:tr>
      <w:tr w:rsidR="00DA402D" w14:paraId="280C0FDC" w14:textId="77777777" w:rsidTr="001D1693">
        <w:tc>
          <w:tcPr>
            <w:tcW w:w="1990" w:type="dxa"/>
            <w:vMerge/>
            <w:shd w:val="clear" w:color="auto" w:fill="EDEDED" w:themeFill="accent3" w:themeFillTint="33"/>
          </w:tcPr>
          <w:p w14:paraId="411EF574" w14:textId="77777777" w:rsidR="00DA402D" w:rsidRDefault="00DA402D" w:rsidP="001D1693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</w:p>
        </w:tc>
        <w:tc>
          <w:tcPr>
            <w:tcW w:w="5774" w:type="dxa"/>
            <w:shd w:val="clear" w:color="auto" w:fill="auto"/>
          </w:tcPr>
          <w:p w14:paraId="5BBB412D" w14:textId="3F6EC196" w:rsidR="00DA402D" w:rsidRPr="001238A9" w:rsidRDefault="00DA402D" w:rsidP="001D169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1238A9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Non-state school student in </w:t>
            </w:r>
            <w:r w:rsidR="00E00814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Y</w:t>
            </w:r>
            <w:r w:rsidRPr="001238A9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ear</w:t>
            </w:r>
            <w:r w:rsidR="00E00814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s</w:t>
            </w:r>
            <w:r w:rsidRPr="001238A9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1</w:t>
            </w:r>
            <w:r w:rsidR="00E00814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</w:t>
            </w:r>
            <w:r w:rsidR="00C05DCB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to</w:t>
            </w:r>
            <w:r w:rsidR="00E00814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</w:t>
            </w:r>
            <w:r w:rsidRPr="001238A9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12 studying a LOTE subject at SDE</w:t>
            </w:r>
          </w:p>
          <w:p w14:paraId="39C0339D" w14:textId="65FD5AD7" w:rsidR="009E0532" w:rsidRPr="004C6CF5" w:rsidRDefault="0043257F" w:rsidP="001D169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 n</w:t>
            </w:r>
            <w:r w:rsidRPr="00465099">
              <w:rPr>
                <w:rFonts w:ascii="Arial" w:hAnsi="Arial" w:cs="Arial"/>
                <w:sz w:val="18"/>
                <w:szCs w:val="18"/>
                <w:lang w:val="en-GB"/>
              </w:rPr>
              <w:t xml:space="preserve">on-state school student (including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a </w:t>
            </w:r>
            <w:r w:rsidRPr="00465099">
              <w:rPr>
                <w:rFonts w:ascii="Arial" w:hAnsi="Arial" w:cs="Arial"/>
                <w:sz w:val="18"/>
                <w:szCs w:val="18"/>
                <w:lang w:val="en-GB"/>
              </w:rPr>
              <w:t xml:space="preserve">student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from </w:t>
            </w:r>
            <w:r w:rsidRPr="00465099">
              <w:rPr>
                <w:rFonts w:ascii="Arial" w:hAnsi="Arial" w:cs="Arial"/>
                <w:sz w:val="18"/>
                <w:szCs w:val="18"/>
                <w:lang w:val="en-GB"/>
              </w:rPr>
              <w:t xml:space="preserve">interstate or overseas)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in Years 1 </w:t>
            </w:r>
            <w:r w:rsidR="00C05DCB">
              <w:rPr>
                <w:rFonts w:ascii="Arial" w:hAnsi="Arial" w:cs="Arial"/>
                <w:sz w:val="18"/>
                <w:szCs w:val="18"/>
                <w:lang w:val="en-GB"/>
              </w:rPr>
              <w:t>to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12, </w:t>
            </w:r>
            <w:r w:rsidRPr="00465099">
              <w:rPr>
                <w:rFonts w:ascii="Arial" w:hAnsi="Arial" w:cs="Arial"/>
                <w:sz w:val="18"/>
                <w:szCs w:val="18"/>
                <w:lang w:val="en-GB"/>
              </w:rPr>
              <w:t xml:space="preserve">who is enrolled to undertake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a LOTE </w:t>
            </w:r>
            <w:r w:rsidRPr="00465099">
              <w:rPr>
                <w:rFonts w:ascii="Arial" w:hAnsi="Arial" w:cs="Arial"/>
                <w:sz w:val="18"/>
                <w:szCs w:val="18"/>
                <w:lang w:val="en-GB"/>
              </w:rPr>
              <w:t>subject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. </w:t>
            </w:r>
          </w:p>
        </w:tc>
        <w:tc>
          <w:tcPr>
            <w:tcW w:w="6189" w:type="dxa"/>
            <w:shd w:val="clear" w:color="auto" w:fill="auto"/>
          </w:tcPr>
          <w:p w14:paraId="129BB895" w14:textId="2AA744A9" w:rsidR="000615C9" w:rsidRPr="006614C2" w:rsidRDefault="00DA402D" w:rsidP="001D1693">
            <w:pPr>
              <w:pStyle w:val="ListParagraph"/>
              <w:numPr>
                <w:ilvl w:val="0"/>
                <w:numId w:val="10"/>
              </w:numPr>
              <w:rPr>
                <w:rFonts w:ascii="Webdings" w:hAnsi="Webdings" w:cs="Calibri" w:hint="eastAsia"/>
                <w:sz w:val="18"/>
                <w:szCs w:val="18"/>
              </w:rPr>
            </w:pPr>
            <w:r w:rsidRPr="007C10AA">
              <w:rPr>
                <w:rFonts w:ascii="Arial" w:hAnsi="Arial" w:cs="Arial"/>
                <w:sz w:val="18"/>
                <w:szCs w:val="18"/>
              </w:rPr>
              <w:t xml:space="preserve">N/A – Not eligible for exemption under </w:t>
            </w:r>
            <w:hyperlink r:id="rId28" w:anchor="sec.53" w:history="1">
              <w:r w:rsidR="00300482">
                <w:rPr>
                  <w:rStyle w:val="Hyperlink"/>
                  <w:rFonts w:ascii="Arial" w:hAnsi="Arial" w:cs="Arial"/>
                  <w:sz w:val="18"/>
                  <w:szCs w:val="18"/>
                  <w:lang w:val="en-GB"/>
                </w:rPr>
                <w:t>s</w:t>
              </w:r>
              <w:r w:rsidRPr="007C10AA">
                <w:rPr>
                  <w:rStyle w:val="Hyperlink"/>
                  <w:rFonts w:ascii="Arial" w:hAnsi="Arial" w:cs="Arial"/>
                  <w:sz w:val="18"/>
                  <w:szCs w:val="18"/>
                  <w:lang w:val="en-GB"/>
                </w:rPr>
                <w:t>ection 53</w:t>
              </w:r>
            </w:hyperlink>
            <w:r w:rsidRPr="007C10AA">
              <w:rPr>
                <w:rFonts w:ascii="Arial" w:hAnsi="Arial" w:cs="Arial"/>
                <w:sz w:val="18"/>
                <w:szCs w:val="18"/>
                <w:lang w:val="en-GB"/>
              </w:rPr>
              <w:t xml:space="preserve"> of the </w:t>
            </w:r>
            <w:r w:rsidR="00F66B0A" w:rsidRPr="007C10AA">
              <w:rPr>
                <w:rFonts w:ascii="Arial" w:hAnsi="Arial" w:cs="Arial"/>
                <w:sz w:val="18"/>
                <w:szCs w:val="18"/>
                <w:lang w:val="en-GB"/>
              </w:rPr>
              <w:t>Act</w:t>
            </w:r>
            <w:r w:rsidR="00F06877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14:paraId="2FB98745" w14:textId="77777777" w:rsidR="001F01E4" w:rsidRDefault="001F01E4" w:rsidP="001D1693">
            <w:pPr>
              <w:rPr>
                <w:rFonts w:ascii="Webdings" w:hAnsi="Webdings" w:cs="Calibri" w:hint="eastAsia"/>
                <w:sz w:val="18"/>
                <w:szCs w:val="18"/>
              </w:rPr>
            </w:pPr>
          </w:p>
          <w:p w14:paraId="0C7CB731" w14:textId="77777777" w:rsidR="001F01E4" w:rsidRDefault="001F01E4" w:rsidP="001D1693">
            <w:pPr>
              <w:rPr>
                <w:rFonts w:ascii="Webdings" w:hAnsi="Webdings" w:cs="Calibri" w:hint="eastAsia"/>
                <w:sz w:val="18"/>
                <w:szCs w:val="18"/>
              </w:rPr>
            </w:pPr>
          </w:p>
          <w:p w14:paraId="55D15A69" w14:textId="77777777" w:rsidR="001F01E4" w:rsidRDefault="001F01E4" w:rsidP="001D1693">
            <w:pPr>
              <w:rPr>
                <w:rFonts w:ascii="Webdings" w:hAnsi="Webdings" w:cs="Calibri" w:hint="eastAsia"/>
                <w:sz w:val="18"/>
                <w:szCs w:val="18"/>
              </w:rPr>
            </w:pPr>
          </w:p>
          <w:p w14:paraId="4C36412E" w14:textId="77777777" w:rsidR="001F01E4" w:rsidRDefault="001F01E4" w:rsidP="001D1693">
            <w:pPr>
              <w:rPr>
                <w:rFonts w:ascii="Webdings" w:hAnsi="Webdings" w:cs="Calibri" w:hint="eastAsia"/>
                <w:sz w:val="18"/>
                <w:szCs w:val="18"/>
              </w:rPr>
            </w:pPr>
          </w:p>
          <w:p w14:paraId="1D88E6D4" w14:textId="586F637E" w:rsidR="001F01E4" w:rsidRPr="006614C2" w:rsidRDefault="001F01E4" w:rsidP="001D1693">
            <w:pPr>
              <w:rPr>
                <w:rFonts w:ascii="Webdings" w:hAnsi="Webdings" w:cs="Calibri" w:hint="eastAsia"/>
                <w:sz w:val="18"/>
                <w:szCs w:val="18"/>
              </w:rPr>
            </w:pPr>
          </w:p>
        </w:tc>
      </w:tr>
      <w:tr w:rsidR="0092492F" w14:paraId="3D6A0C4E" w14:textId="77777777" w:rsidTr="001D1693">
        <w:trPr>
          <w:cantSplit/>
        </w:trPr>
        <w:tc>
          <w:tcPr>
            <w:tcW w:w="1990" w:type="dxa"/>
            <w:vMerge w:val="restart"/>
            <w:shd w:val="clear" w:color="auto" w:fill="FFF2CC" w:themeFill="accent4" w:themeFillTint="33"/>
          </w:tcPr>
          <w:p w14:paraId="62534074" w14:textId="217AA204" w:rsidR="0092492F" w:rsidRPr="000615C9" w:rsidRDefault="003C5470" w:rsidP="001D169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lastRenderedPageBreak/>
              <w:t xml:space="preserve">4. </w:t>
            </w:r>
            <w:r w:rsidR="0092492F" w:rsidRPr="000615C9">
              <w:rPr>
                <w:rFonts w:ascii="Arial" w:hAnsi="Arial" w:cs="Arial"/>
                <w:b/>
                <w:sz w:val="18"/>
                <w:szCs w:val="18"/>
                <w:lang w:val="en-GB"/>
              </w:rPr>
              <w:t>Circumstance where a fee waiver may be applicable</w:t>
            </w:r>
            <w:r w:rsidR="00300482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5774" w:type="dxa"/>
            <w:shd w:val="clear" w:color="auto" w:fill="auto"/>
          </w:tcPr>
          <w:p w14:paraId="06BACC62" w14:textId="77B4F25E" w:rsidR="00300482" w:rsidRDefault="003B4698" w:rsidP="001D169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Educational disadvantage and f</w:t>
            </w:r>
            <w:r w:rsidR="001F01E4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inancial hardship</w:t>
            </w:r>
          </w:p>
          <w:p w14:paraId="2EDC9468" w14:textId="4025D720" w:rsidR="0092492F" w:rsidRPr="006614C2" w:rsidRDefault="0092492F" w:rsidP="001D169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AD1237">
              <w:rPr>
                <w:rFonts w:ascii="Arial" w:hAnsi="Arial" w:cs="Arial"/>
                <w:sz w:val="18"/>
                <w:szCs w:val="18"/>
                <w:lang w:val="en-GB"/>
              </w:rPr>
              <w:t xml:space="preserve">Student would </w:t>
            </w:r>
            <w:r w:rsidR="00D61C2C">
              <w:rPr>
                <w:rFonts w:ascii="Arial" w:hAnsi="Arial" w:cs="Arial"/>
                <w:sz w:val="18"/>
                <w:szCs w:val="18"/>
                <w:lang w:val="en-GB"/>
              </w:rPr>
              <w:t>experience</w:t>
            </w:r>
            <w:r w:rsidRPr="00AD1237">
              <w:rPr>
                <w:rFonts w:ascii="Arial" w:hAnsi="Arial" w:cs="Arial"/>
                <w:sz w:val="18"/>
                <w:szCs w:val="18"/>
                <w:lang w:val="en-GB"/>
              </w:rPr>
              <w:t xml:space="preserve"> a significant educational disadvantage if they were not able to continue in the program and payment of the fee would cause financial hardship to the person liable to pay it</w:t>
            </w:r>
            <w:r w:rsidR="00D61C2C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  <w:tc>
          <w:tcPr>
            <w:tcW w:w="6189" w:type="dxa"/>
            <w:shd w:val="clear" w:color="auto" w:fill="auto"/>
          </w:tcPr>
          <w:p w14:paraId="1FE40D32" w14:textId="041A3AD5" w:rsidR="00531B9F" w:rsidRDefault="00531B9F" w:rsidP="001D169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531B9F">
              <w:rPr>
                <w:rFonts w:ascii="Arial" w:hAnsi="Arial" w:cs="Arial"/>
                <w:sz w:val="18"/>
                <w:szCs w:val="18"/>
              </w:rPr>
              <w:t>Statements that describe the personal, living or learning circumstances of the student that may cause the</w:t>
            </w:r>
            <w:r w:rsidR="0072785A">
              <w:rPr>
                <w:rFonts w:ascii="Arial" w:hAnsi="Arial" w:cs="Arial"/>
                <w:sz w:val="18"/>
                <w:szCs w:val="18"/>
              </w:rPr>
              <w:t>m</w:t>
            </w:r>
            <w:r w:rsidRPr="00531B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785A">
              <w:rPr>
                <w:rFonts w:ascii="Arial" w:hAnsi="Arial" w:cs="Arial"/>
                <w:sz w:val="18"/>
                <w:szCs w:val="18"/>
              </w:rPr>
              <w:t>t</w:t>
            </w:r>
            <w:r w:rsidRPr="00531B9F">
              <w:rPr>
                <w:rFonts w:ascii="Arial" w:hAnsi="Arial" w:cs="Arial"/>
                <w:sz w:val="18"/>
                <w:szCs w:val="18"/>
              </w:rPr>
              <w:t xml:space="preserve">o experience educational disadvantage </w:t>
            </w:r>
            <w:r>
              <w:rPr>
                <w:rFonts w:ascii="Arial" w:hAnsi="Arial" w:cs="Arial"/>
                <w:sz w:val="18"/>
                <w:szCs w:val="18"/>
              </w:rPr>
              <w:t xml:space="preserve">should they not be able to access </w:t>
            </w:r>
            <w:r w:rsidRPr="007D1152">
              <w:rPr>
                <w:rFonts w:ascii="Arial" w:hAnsi="Arial" w:cs="Arial"/>
                <w:sz w:val="18"/>
                <w:szCs w:val="18"/>
              </w:rPr>
              <w:t>distance education</w:t>
            </w:r>
            <w:r w:rsidR="007278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785A" w:rsidRPr="00531B9F">
              <w:rPr>
                <w:rFonts w:ascii="Arial" w:hAnsi="Arial" w:cs="Arial"/>
                <w:sz w:val="18"/>
                <w:szCs w:val="18"/>
              </w:rPr>
              <w:t>(e.g. lack of continuity of learning)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F3633B2" w14:textId="2600075B" w:rsidR="0092492F" w:rsidRPr="006614C2" w:rsidRDefault="0092492F" w:rsidP="001D169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6614C2">
              <w:rPr>
                <w:rFonts w:ascii="Arial" w:hAnsi="Arial" w:cs="Arial"/>
                <w:sz w:val="18"/>
                <w:szCs w:val="18"/>
              </w:rPr>
              <w:t>Current Health Care Card or other evidence of financial hardship</w:t>
            </w:r>
            <w:r w:rsidR="008D23E4" w:rsidRPr="006614C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2492F" w14:paraId="5705C39A" w14:textId="77777777" w:rsidTr="001D1693">
        <w:trPr>
          <w:cantSplit/>
        </w:trPr>
        <w:tc>
          <w:tcPr>
            <w:tcW w:w="1990" w:type="dxa"/>
            <w:vMerge/>
            <w:shd w:val="clear" w:color="auto" w:fill="FFF2CC" w:themeFill="accent4" w:themeFillTint="33"/>
          </w:tcPr>
          <w:p w14:paraId="7152342A" w14:textId="77777777" w:rsidR="0092492F" w:rsidRPr="000615C9" w:rsidRDefault="0092492F" w:rsidP="001D169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5774" w:type="dxa"/>
            <w:shd w:val="clear" w:color="auto" w:fill="auto"/>
          </w:tcPr>
          <w:p w14:paraId="5E492F5A" w14:textId="65B65CEE" w:rsidR="001F01E4" w:rsidRPr="00AD1237" w:rsidRDefault="001F01E4" w:rsidP="001D169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Exceptional circumstances</w:t>
            </w:r>
          </w:p>
          <w:p w14:paraId="79A81CF3" w14:textId="3F73EFBC" w:rsidR="0092492F" w:rsidRPr="00AD1237" w:rsidRDefault="0092492F" w:rsidP="001D169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The </w:t>
            </w:r>
            <w:r w:rsidRPr="0092492F">
              <w:rPr>
                <w:rFonts w:ascii="Arial" w:hAnsi="Arial" w:cs="Arial"/>
                <w:sz w:val="18"/>
                <w:szCs w:val="18"/>
                <w:lang w:val="en-GB"/>
              </w:rPr>
              <w:t>SDE principal is satisfied the waiver is appropriate and reasonable because exceptional circumstances exist in relation to the stude</w:t>
            </w:r>
            <w:r w:rsidR="007D1152">
              <w:rPr>
                <w:rFonts w:ascii="Arial" w:hAnsi="Arial" w:cs="Arial"/>
                <w:sz w:val="18"/>
                <w:szCs w:val="18"/>
                <w:lang w:val="en-GB"/>
              </w:rPr>
              <w:t>nt</w:t>
            </w:r>
          </w:p>
        </w:tc>
        <w:tc>
          <w:tcPr>
            <w:tcW w:w="6189" w:type="dxa"/>
            <w:shd w:val="clear" w:color="auto" w:fill="auto"/>
          </w:tcPr>
          <w:p w14:paraId="416B937C" w14:textId="75B337D0" w:rsidR="00D61C2C" w:rsidRPr="007C10AA" w:rsidRDefault="00A00C6D" w:rsidP="001D169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Statements from medical or educational professionals, youth or social workers, employers or others that describe the unique personal, living or learning circumstances of the student that would support </w:t>
            </w:r>
            <w:r w:rsidRPr="007D1152">
              <w:rPr>
                <w:rFonts w:ascii="Arial" w:hAnsi="Arial" w:cs="Arial"/>
                <w:sz w:val="18"/>
                <w:szCs w:val="18"/>
              </w:rPr>
              <w:t xml:space="preserve">distance education </w:t>
            </w:r>
            <w:r>
              <w:rPr>
                <w:rFonts w:ascii="Arial" w:hAnsi="Arial" w:cs="Arial"/>
                <w:sz w:val="18"/>
                <w:szCs w:val="18"/>
              </w:rPr>
              <w:t xml:space="preserve">as being </w:t>
            </w:r>
            <w:r w:rsidRPr="007D1152">
              <w:rPr>
                <w:rFonts w:ascii="Arial" w:hAnsi="Arial" w:cs="Arial"/>
                <w:sz w:val="18"/>
                <w:szCs w:val="18"/>
              </w:rPr>
              <w:t>the most appropriate educational program for the student</w:t>
            </w:r>
            <w:r w:rsidR="00531B9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71C93147" w14:textId="4455328A" w:rsidR="00507A9A" w:rsidRDefault="0033185C" w:rsidP="00981844">
      <w:r>
        <w:br w:type="textWrapping" w:clear="all"/>
      </w:r>
    </w:p>
    <w:sectPr w:rsidR="00507A9A" w:rsidSect="006614C2">
      <w:headerReference w:type="default" r:id="rId29"/>
      <w:footerReference w:type="default" r:id="rId30"/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3C4D" w14:textId="77777777" w:rsidR="0038668D" w:rsidRDefault="0038668D" w:rsidP="00C60D51">
      <w:pPr>
        <w:spacing w:after="0" w:line="240" w:lineRule="auto"/>
      </w:pPr>
      <w:r>
        <w:separator/>
      </w:r>
    </w:p>
  </w:endnote>
  <w:endnote w:type="continuationSeparator" w:id="0">
    <w:p w14:paraId="33825EEC" w14:textId="77777777" w:rsidR="0038668D" w:rsidRDefault="0038668D" w:rsidP="00C60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209873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F66EB6" w14:textId="30EB2744" w:rsidR="00F53A9C" w:rsidRPr="006614C2" w:rsidRDefault="00F53A9C" w:rsidP="00F53A9C">
            <w:pPr>
              <w:pStyle w:val="Footer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5B8C">
              <w:rPr>
                <w:rFonts w:ascii="Arial" w:eastAsia="Arial Unicode MS" w:hAnsi="Arial" w:cs="Arial"/>
                <w:noProof/>
                <w:color w:val="0563C1"/>
                <w:sz w:val="16"/>
                <w:szCs w:val="16"/>
                <w:u w:val="single"/>
              </w:rPr>
              <w:drawing>
                <wp:anchor distT="0" distB="0" distL="114300" distR="114300" simplePos="0" relativeHeight="251658240" behindDoc="1" locked="0" layoutInCell="1" allowOverlap="1" wp14:anchorId="297316AE" wp14:editId="7DDD3DB6">
                  <wp:simplePos x="0" y="0"/>
                  <wp:positionH relativeFrom="column">
                    <wp:posOffset>7458075</wp:posOffset>
                  </wp:positionH>
                  <wp:positionV relativeFrom="paragraph">
                    <wp:posOffset>-19050</wp:posOffset>
                  </wp:positionV>
                  <wp:extent cx="1651635" cy="539115"/>
                  <wp:effectExtent l="0" t="0" r="571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ld-CoA-2LS-S-RGB-mono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635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ACE53D9" w14:textId="77777777" w:rsidR="00F53A9C" w:rsidRPr="006614C2" w:rsidRDefault="00F53A9C" w:rsidP="00F53A9C">
            <w:pPr>
              <w:pStyle w:val="Footer"/>
              <w:rPr>
                <w:rStyle w:val="PPRFootertextChar"/>
                <w:rFonts w:cs="Arial"/>
                <w:szCs w:val="16"/>
              </w:rPr>
            </w:pPr>
            <w:r w:rsidRPr="006614C2">
              <w:rPr>
                <w:rStyle w:val="PPRBold"/>
                <w:rFonts w:cs="Arial"/>
                <w:sz w:val="16"/>
                <w:szCs w:val="16"/>
              </w:rPr>
              <w:t>Uncontrolled copy</w:t>
            </w:r>
            <w:r w:rsidRPr="006614C2">
              <w:rPr>
                <w:rStyle w:val="PPRFootertextChar"/>
                <w:rFonts w:cs="Arial"/>
                <w:szCs w:val="16"/>
              </w:rPr>
              <w:t>. Refer to the Department of Education Policy and Procedure Register at</w:t>
            </w:r>
          </w:p>
          <w:p w14:paraId="60C3F744" w14:textId="22504D6A" w:rsidR="00F53A9C" w:rsidRPr="006614C2" w:rsidRDefault="009D747F" w:rsidP="006614C2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hyperlink r:id="rId2" w:history="1">
              <w:r w:rsidR="00142798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https://ppr.qed.qld.gov.au/pp/distance-education-enrolment-and-fees-procedure</w:t>
              </w:r>
            </w:hyperlink>
            <w:r w:rsidR="00F53A9C" w:rsidRPr="006614C2">
              <w:rPr>
                <w:rStyle w:val="PPRFootertextChar"/>
                <w:rFonts w:cs="Arial"/>
                <w:szCs w:val="16"/>
              </w:rPr>
              <w:t xml:space="preserve"> to</w:t>
            </w:r>
            <w:r w:rsidR="00F53A9C" w:rsidRPr="00CA5B8C">
              <w:rPr>
                <w:rStyle w:val="PPRFootertextChar"/>
                <w:rFonts w:cs="Arial"/>
                <w:szCs w:val="16"/>
              </w:rPr>
              <w:t xml:space="preserve"> ensure you </w:t>
            </w:r>
            <w:r w:rsidR="00F53A9C" w:rsidRPr="006614C2">
              <w:rPr>
                <w:rFonts w:ascii="Arial" w:hAnsi="Arial" w:cs="Arial"/>
                <w:sz w:val="16"/>
                <w:szCs w:val="16"/>
              </w:rPr>
              <w:t>have the most</w:t>
            </w:r>
            <w:r w:rsidR="00F53A9C" w:rsidRPr="00CA5B8C">
              <w:rPr>
                <w:rStyle w:val="PPRFootertextChar"/>
                <w:rFonts w:cs="Arial"/>
                <w:szCs w:val="16"/>
              </w:rPr>
              <w:t xml:space="preserve"> current version of this document</w:t>
            </w:r>
          </w:p>
        </w:sdtContent>
      </w:sdt>
    </w:sdtContent>
  </w:sdt>
  <w:p w14:paraId="03A59C3D" w14:textId="77777777" w:rsidR="00F53A9C" w:rsidRPr="00CA5B8C" w:rsidRDefault="00F53A9C" w:rsidP="006614C2">
    <w:pPr>
      <w:pStyle w:val="Footer"/>
      <w:jc w:val="right"/>
      <w:rPr>
        <w:rFonts w:ascii="Arial" w:hAnsi="Arial" w:cs="Arial"/>
        <w:b/>
        <w:bCs/>
        <w:sz w:val="16"/>
        <w:szCs w:val="16"/>
      </w:rPr>
    </w:pPr>
    <w:r w:rsidRPr="00CA5B8C">
      <w:rPr>
        <w:rFonts w:ascii="Arial" w:hAnsi="Arial" w:cs="Arial"/>
        <w:sz w:val="16"/>
        <w:szCs w:val="16"/>
      </w:rPr>
      <w:t xml:space="preserve">Page </w:t>
    </w:r>
    <w:r w:rsidRPr="006614C2">
      <w:rPr>
        <w:rFonts w:ascii="Arial" w:hAnsi="Arial" w:cs="Arial"/>
        <w:b/>
        <w:bCs/>
        <w:sz w:val="16"/>
        <w:szCs w:val="16"/>
      </w:rPr>
      <w:fldChar w:fldCharType="begin"/>
    </w:r>
    <w:r w:rsidRPr="00CA5B8C">
      <w:rPr>
        <w:rFonts w:ascii="Arial" w:hAnsi="Arial" w:cs="Arial"/>
        <w:b/>
        <w:bCs/>
        <w:sz w:val="16"/>
        <w:szCs w:val="16"/>
      </w:rPr>
      <w:instrText xml:space="preserve"> PAGE </w:instrText>
    </w:r>
    <w:r w:rsidRPr="006614C2">
      <w:rPr>
        <w:rFonts w:ascii="Arial" w:hAnsi="Arial" w:cs="Arial"/>
        <w:b/>
        <w:bCs/>
        <w:sz w:val="16"/>
        <w:szCs w:val="16"/>
      </w:rPr>
      <w:fldChar w:fldCharType="separate"/>
    </w:r>
    <w:r w:rsidRPr="00483782">
      <w:rPr>
        <w:rFonts w:ascii="Arial" w:hAnsi="Arial" w:cs="Arial"/>
        <w:b/>
        <w:bCs/>
        <w:sz w:val="16"/>
        <w:szCs w:val="16"/>
      </w:rPr>
      <w:t>3</w:t>
    </w:r>
    <w:r w:rsidRPr="006614C2">
      <w:rPr>
        <w:rFonts w:ascii="Arial" w:hAnsi="Arial" w:cs="Arial"/>
        <w:b/>
        <w:bCs/>
        <w:sz w:val="16"/>
        <w:szCs w:val="16"/>
      </w:rPr>
      <w:fldChar w:fldCharType="end"/>
    </w:r>
    <w:r w:rsidRPr="00CA5B8C">
      <w:rPr>
        <w:rFonts w:ascii="Arial" w:hAnsi="Arial" w:cs="Arial"/>
        <w:sz w:val="16"/>
        <w:szCs w:val="16"/>
      </w:rPr>
      <w:t xml:space="preserve"> of </w:t>
    </w:r>
    <w:r w:rsidRPr="006614C2">
      <w:rPr>
        <w:rFonts w:ascii="Arial" w:hAnsi="Arial" w:cs="Arial"/>
        <w:b/>
        <w:bCs/>
        <w:sz w:val="16"/>
        <w:szCs w:val="16"/>
      </w:rPr>
      <w:fldChar w:fldCharType="begin"/>
    </w:r>
    <w:r w:rsidRPr="00CA5B8C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6614C2">
      <w:rPr>
        <w:rFonts w:ascii="Arial" w:hAnsi="Arial" w:cs="Arial"/>
        <w:b/>
        <w:bCs/>
        <w:sz w:val="16"/>
        <w:szCs w:val="16"/>
      </w:rPr>
      <w:fldChar w:fldCharType="separate"/>
    </w:r>
    <w:r w:rsidRPr="00483782">
      <w:rPr>
        <w:rFonts w:ascii="Arial" w:hAnsi="Arial" w:cs="Arial"/>
        <w:b/>
        <w:bCs/>
        <w:sz w:val="16"/>
        <w:szCs w:val="16"/>
      </w:rPr>
      <w:t>3</w:t>
    </w:r>
    <w:r w:rsidRPr="006614C2">
      <w:rPr>
        <w:rFonts w:ascii="Arial" w:hAnsi="Arial" w:cs="Arial"/>
        <w:b/>
        <w:bCs/>
        <w:sz w:val="16"/>
        <w:szCs w:val="16"/>
      </w:rPr>
      <w:fldChar w:fldCharType="end"/>
    </w:r>
  </w:p>
  <w:p w14:paraId="628153F1" w14:textId="17EE8A48" w:rsidR="006F5778" w:rsidRPr="006614C2" w:rsidRDefault="006F5778" w:rsidP="00F53A9C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E4860" w14:textId="77777777" w:rsidR="0038668D" w:rsidRDefault="0038668D" w:rsidP="00C60D51">
      <w:pPr>
        <w:spacing w:after="0" w:line="240" w:lineRule="auto"/>
      </w:pPr>
      <w:bookmarkStart w:id="0" w:name="_Hlk115098124"/>
      <w:bookmarkEnd w:id="0"/>
      <w:r>
        <w:separator/>
      </w:r>
    </w:p>
  </w:footnote>
  <w:footnote w:type="continuationSeparator" w:id="0">
    <w:p w14:paraId="7A84A19D" w14:textId="77777777" w:rsidR="0038668D" w:rsidRDefault="0038668D" w:rsidP="00C60D51">
      <w:pPr>
        <w:spacing w:after="0" w:line="240" w:lineRule="auto"/>
      </w:pPr>
      <w:r>
        <w:continuationSeparator/>
      </w:r>
    </w:p>
  </w:footnote>
  <w:footnote w:id="1">
    <w:p w14:paraId="14A667BC" w14:textId="33123774" w:rsidR="00123981" w:rsidRDefault="00123981" w:rsidP="001F7A54">
      <w:pPr>
        <w:pStyle w:val="FootnoteText"/>
        <w:rPr>
          <w:rFonts w:ascii="Arial" w:hAnsi="Arial" w:cs="Arial"/>
          <w:sz w:val="18"/>
          <w:szCs w:val="18"/>
        </w:rPr>
      </w:pPr>
      <w:r w:rsidRPr="00874E4A">
        <w:rPr>
          <w:rStyle w:val="FootnoteReference"/>
          <w:rFonts w:ascii="Arial" w:hAnsi="Arial" w:cs="Arial"/>
          <w:sz w:val="18"/>
          <w:szCs w:val="18"/>
        </w:rPr>
        <w:footnoteRef/>
      </w:r>
      <w:r w:rsidRPr="00874E4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M</w:t>
      </w:r>
      <w:r w:rsidRPr="00874E4A">
        <w:rPr>
          <w:rFonts w:ascii="Arial" w:hAnsi="Arial" w:cs="Arial"/>
          <w:b/>
          <w:i/>
          <w:sz w:val="18"/>
          <w:szCs w:val="18"/>
        </w:rPr>
        <w:t>edical certificate</w:t>
      </w:r>
      <w:r w:rsidRPr="00874E4A">
        <w:rPr>
          <w:rFonts w:ascii="Arial" w:hAnsi="Arial" w:cs="Arial"/>
          <w:b/>
          <w:sz w:val="18"/>
          <w:szCs w:val="18"/>
        </w:rPr>
        <w:t xml:space="preserve"> </w:t>
      </w:r>
      <w:r w:rsidRPr="00874E4A">
        <w:rPr>
          <w:rFonts w:ascii="Arial" w:hAnsi="Arial" w:cs="Arial"/>
          <w:sz w:val="18"/>
          <w:szCs w:val="18"/>
        </w:rPr>
        <w:t xml:space="preserve">means a certificate signed by a person registered under the Health Practitioner National Law to practise in the psychology profession </w:t>
      </w:r>
      <w:r>
        <w:rPr>
          <w:rFonts w:ascii="Arial" w:hAnsi="Arial" w:cs="Arial"/>
          <w:sz w:val="18"/>
          <w:szCs w:val="18"/>
        </w:rPr>
        <w:t>(</w:t>
      </w:r>
      <w:r w:rsidRPr="00874E4A">
        <w:rPr>
          <w:rFonts w:ascii="Arial" w:hAnsi="Arial" w:cs="Arial"/>
          <w:sz w:val="18"/>
          <w:szCs w:val="18"/>
        </w:rPr>
        <w:t>other than a student</w:t>
      </w:r>
      <w:r>
        <w:rPr>
          <w:rFonts w:ascii="Arial" w:hAnsi="Arial" w:cs="Arial"/>
          <w:sz w:val="18"/>
          <w:szCs w:val="18"/>
        </w:rPr>
        <w:t>)</w:t>
      </w:r>
      <w:r w:rsidRPr="00874E4A">
        <w:rPr>
          <w:rFonts w:ascii="Arial" w:hAnsi="Arial" w:cs="Arial"/>
          <w:sz w:val="18"/>
          <w:szCs w:val="18"/>
        </w:rPr>
        <w:t xml:space="preserve"> or a medical practitioner</w:t>
      </w:r>
      <w:r>
        <w:rPr>
          <w:rFonts w:ascii="Arial" w:hAnsi="Arial" w:cs="Arial"/>
          <w:sz w:val="18"/>
          <w:szCs w:val="18"/>
        </w:rPr>
        <w:t>.</w:t>
      </w:r>
      <w:r w:rsidRPr="00874E4A">
        <w:rPr>
          <w:rFonts w:ascii="Arial" w:hAnsi="Arial" w:cs="Arial"/>
          <w:sz w:val="18"/>
          <w:szCs w:val="18"/>
        </w:rPr>
        <w:t xml:space="preserve"> </w:t>
      </w:r>
      <w:r w:rsidR="001F01E4">
        <w:rPr>
          <w:rFonts w:ascii="Arial" w:hAnsi="Arial" w:cs="Arial"/>
          <w:sz w:val="18"/>
          <w:szCs w:val="18"/>
        </w:rPr>
        <w:t>Medical certificates must be dated within the last 12 months.</w:t>
      </w:r>
    </w:p>
    <w:p w14:paraId="734285F0" w14:textId="77777777" w:rsidR="00123981" w:rsidRDefault="00123981" w:rsidP="001F7A54">
      <w:pPr>
        <w:pStyle w:val="FootnoteText"/>
        <w:rPr>
          <w:rFonts w:ascii="Arial" w:hAnsi="Arial" w:cs="Arial"/>
          <w:sz w:val="18"/>
          <w:szCs w:val="18"/>
        </w:rPr>
      </w:pPr>
    </w:p>
    <w:p w14:paraId="12AE0789" w14:textId="77777777" w:rsidR="00123981" w:rsidRDefault="00123981" w:rsidP="001F7A54">
      <w:pPr>
        <w:pStyle w:val="FootnoteText"/>
        <w:rPr>
          <w:rFonts w:ascii="Arial" w:hAnsi="Arial" w:cs="Arial"/>
          <w:sz w:val="18"/>
          <w:szCs w:val="18"/>
        </w:rPr>
      </w:pPr>
    </w:p>
    <w:p w14:paraId="4D1952BA" w14:textId="04DF1540" w:rsidR="00C60D51" w:rsidRPr="00874E4A" w:rsidRDefault="00C60D51" w:rsidP="001F7A54">
      <w:pPr>
        <w:pStyle w:val="FootnoteText"/>
        <w:rPr>
          <w:rFonts w:ascii="Arial" w:hAnsi="Arial" w:cs="Arial"/>
          <w:sz w:val="18"/>
          <w:szCs w:val="18"/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86EFA" w14:textId="1DACBCC7" w:rsidR="006F5778" w:rsidRDefault="006F5778">
    <w:pPr>
      <w:pStyle w:val="Header"/>
    </w:pPr>
    <w:r>
      <w:rPr>
        <w:noProof/>
      </w:rPr>
      <w:drawing>
        <wp:inline distT="0" distB="0" distL="0" distR="0" wp14:anchorId="4419823E" wp14:editId="43BCDEBD">
          <wp:extent cx="9734550" cy="417195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oE-A4-landscape-corporate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4550" cy="417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170"/>
    <w:multiLevelType w:val="hybridMultilevel"/>
    <w:tmpl w:val="4A3EA0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E7028"/>
    <w:multiLevelType w:val="hybridMultilevel"/>
    <w:tmpl w:val="85F44F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7D2152"/>
    <w:multiLevelType w:val="hybridMultilevel"/>
    <w:tmpl w:val="1F009D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A9071F"/>
    <w:multiLevelType w:val="hybridMultilevel"/>
    <w:tmpl w:val="9C0058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855EF4"/>
    <w:multiLevelType w:val="hybridMultilevel"/>
    <w:tmpl w:val="27FE95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F9582D"/>
    <w:multiLevelType w:val="hybridMultilevel"/>
    <w:tmpl w:val="17707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80AF8"/>
    <w:multiLevelType w:val="hybridMultilevel"/>
    <w:tmpl w:val="09A0BE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25FB4"/>
    <w:multiLevelType w:val="hybridMultilevel"/>
    <w:tmpl w:val="83F0FF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296FD3"/>
    <w:multiLevelType w:val="hybridMultilevel"/>
    <w:tmpl w:val="CDE463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D620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B7B9D"/>
    <w:multiLevelType w:val="hybridMultilevel"/>
    <w:tmpl w:val="2ADE0A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54141A"/>
    <w:multiLevelType w:val="hybridMultilevel"/>
    <w:tmpl w:val="52561D24"/>
    <w:lvl w:ilvl="0" w:tplc="9EFCCD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157C2F"/>
    <w:multiLevelType w:val="hybridMultilevel"/>
    <w:tmpl w:val="E8524D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B32897"/>
    <w:multiLevelType w:val="hybridMultilevel"/>
    <w:tmpl w:val="B60EE8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164186"/>
    <w:multiLevelType w:val="hybridMultilevel"/>
    <w:tmpl w:val="CDB882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FA2B3B"/>
    <w:multiLevelType w:val="hybridMultilevel"/>
    <w:tmpl w:val="42BA315C"/>
    <w:lvl w:ilvl="0" w:tplc="9EFCC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44E07"/>
    <w:multiLevelType w:val="hybridMultilevel"/>
    <w:tmpl w:val="4CEA2A0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922422">
    <w:abstractNumId w:val="5"/>
  </w:num>
  <w:num w:numId="2" w16cid:durableId="1828597274">
    <w:abstractNumId w:val="8"/>
  </w:num>
  <w:num w:numId="3" w16cid:durableId="2095474938">
    <w:abstractNumId w:val="11"/>
  </w:num>
  <w:num w:numId="4" w16cid:durableId="495613201">
    <w:abstractNumId w:val="0"/>
  </w:num>
  <w:num w:numId="5" w16cid:durableId="366955050">
    <w:abstractNumId w:val="13"/>
  </w:num>
  <w:num w:numId="6" w16cid:durableId="39210738">
    <w:abstractNumId w:val="4"/>
  </w:num>
  <w:num w:numId="7" w16cid:durableId="755520486">
    <w:abstractNumId w:val="2"/>
  </w:num>
  <w:num w:numId="8" w16cid:durableId="1371799580">
    <w:abstractNumId w:val="12"/>
  </w:num>
  <w:num w:numId="9" w16cid:durableId="827596896">
    <w:abstractNumId w:val="6"/>
  </w:num>
  <w:num w:numId="10" w16cid:durableId="1377968439">
    <w:abstractNumId w:val="1"/>
  </w:num>
  <w:num w:numId="11" w16cid:durableId="1689479219">
    <w:abstractNumId w:val="7"/>
  </w:num>
  <w:num w:numId="12" w16cid:durableId="9648950">
    <w:abstractNumId w:val="15"/>
  </w:num>
  <w:num w:numId="13" w16cid:durableId="214048754">
    <w:abstractNumId w:val="9"/>
  </w:num>
  <w:num w:numId="14" w16cid:durableId="897546083">
    <w:abstractNumId w:val="3"/>
  </w:num>
  <w:num w:numId="15" w16cid:durableId="373241329">
    <w:abstractNumId w:val="10"/>
  </w:num>
  <w:num w:numId="16" w16cid:durableId="4167526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9A"/>
    <w:rsid w:val="0004242C"/>
    <w:rsid w:val="000615C9"/>
    <w:rsid w:val="00064D8F"/>
    <w:rsid w:val="000841D5"/>
    <w:rsid w:val="0009002A"/>
    <w:rsid w:val="000A4C10"/>
    <w:rsid w:val="000C7A44"/>
    <w:rsid w:val="0010493E"/>
    <w:rsid w:val="0011139C"/>
    <w:rsid w:val="001238A9"/>
    <w:rsid w:val="00123981"/>
    <w:rsid w:val="00142798"/>
    <w:rsid w:val="001602EF"/>
    <w:rsid w:val="00161C2D"/>
    <w:rsid w:val="001D1693"/>
    <w:rsid w:val="001F01E4"/>
    <w:rsid w:val="001F48EF"/>
    <w:rsid w:val="001F5463"/>
    <w:rsid w:val="00206FA7"/>
    <w:rsid w:val="00264BFC"/>
    <w:rsid w:val="002C382F"/>
    <w:rsid w:val="00300482"/>
    <w:rsid w:val="0032749E"/>
    <w:rsid w:val="0033185C"/>
    <w:rsid w:val="0034437F"/>
    <w:rsid w:val="00353117"/>
    <w:rsid w:val="00363490"/>
    <w:rsid w:val="0038668D"/>
    <w:rsid w:val="003B4698"/>
    <w:rsid w:val="003C5470"/>
    <w:rsid w:val="003D7900"/>
    <w:rsid w:val="00423B16"/>
    <w:rsid w:val="0043257F"/>
    <w:rsid w:val="00435A3E"/>
    <w:rsid w:val="00451DB3"/>
    <w:rsid w:val="004561B9"/>
    <w:rsid w:val="00483782"/>
    <w:rsid w:val="004C6CF5"/>
    <w:rsid w:val="004E7941"/>
    <w:rsid w:val="004F5249"/>
    <w:rsid w:val="00506F6C"/>
    <w:rsid w:val="00507A9A"/>
    <w:rsid w:val="00531B9F"/>
    <w:rsid w:val="005A78EE"/>
    <w:rsid w:val="005C70FC"/>
    <w:rsid w:val="00616533"/>
    <w:rsid w:val="006614C2"/>
    <w:rsid w:val="006B5D9D"/>
    <w:rsid w:val="006B7085"/>
    <w:rsid w:val="006C028A"/>
    <w:rsid w:val="006C6A16"/>
    <w:rsid w:val="006F41AD"/>
    <w:rsid w:val="006F5778"/>
    <w:rsid w:val="0072785A"/>
    <w:rsid w:val="0073475A"/>
    <w:rsid w:val="00762B76"/>
    <w:rsid w:val="007C10AA"/>
    <w:rsid w:val="007D1152"/>
    <w:rsid w:val="0084450C"/>
    <w:rsid w:val="008449AD"/>
    <w:rsid w:val="00893374"/>
    <w:rsid w:val="008A5F80"/>
    <w:rsid w:val="008B336F"/>
    <w:rsid w:val="008D23E4"/>
    <w:rsid w:val="008E1702"/>
    <w:rsid w:val="0092492F"/>
    <w:rsid w:val="00940642"/>
    <w:rsid w:val="00981844"/>
    <w:rsid w:val="00993DF4"/>
    <w:rsid w:val="009D747F"/>
    <w:rsid w:val="009E0532"/>
    <w:rsid w:val="00A00C6D"/>
    <w:rsid w:val="00A01AC3"/>
    <w:rsid w:val="00A038CE"/>
    <w:rsid w:val="00A5404D"/>
    <w:rsid w:val="00A958B9"/>
    <w:rsid w:val="00AC3785"/>
    <w:rsid w:val="00AD1237"/>
    <w:rsid w:val="00AF04DF"/>
    <w:rsid w:val="00AF4D15"/>
    <w:rsid w:val="00AF7232"/>
    <w:rsid w:val="00B16547"/>
    <w:rsid w:val="00B47B15"/>
    <w:rsid w:val="00B5546D"/>
    <w:rsid w:val="00B55BB5"/>
    <w:rsid w:val="00BA6DC0"/>
    <w:rsid w:val="00BC371D"/>
    <w:rsid w:val="00BD04A9"/>
    <w:rsid w:val="00BE48DF"/>
    <w:rsid w:val="00C05DCB"/>
    <w:rsid w:val="00C3286F"/>
    <w:rsid w:val="00C33D38"/>
    <w:rsid w:val="00C60D51"/>
    <w:rsid w:val="00C649CE"/>
    <w:rsid w:val="00C94C2D"/>
    <w:rsid w:val="00CA5B8C"/>
    <w:rsid w:val="00CE2BEC"/>
    <w:rsid w:val="00D61C2C"/>
    <w:rsid w:val="00DA402D"/>
    <w:rsid w:val="00DB5B6B"/>
    <w:rsid w:val="00DD419D"/>
    <w:rsid w:val="00E00814"/>
    <w:rsid w:val="00E33775"/>
    <w:rsid w:val="00E538DD"/>
    <w:rsid w:val="00E54ACE"/>
    <w:rsid w:val="00E82D66"/>
    <w:rsid w:val="00EE0144"/>
    <w:rsid w:val="00F06877"/>
    <w:rsid w:val="00F53A9C"/>
    <w:rsid w:val="00F562F1"/>
    <w:rsid w:val="00F66B0A"/>
    <w:rsid w:val="00FC6663"/>
    <w:rsid w:val="00FE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179BF44"/>
  <w15:chartTrackingRefBased/>
  <w15:docId w15:val="{A5991085-C363-4777-B620-F0D21728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A9A"/>
    <w:rPr>
      <w:rFonts w:ascii="Calibri" w:eastAsia="DengXi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PRNormal">
    <w:name w:val="PPR_Normal"/>
    <w:basedOn w:val="Normal"/>
    <w:link w:val="PPRNormalChar"/>
    <w:uiPriority w:val="5"/>
    <w:qFormat/>
    <w:rsid w:val="00507A9A"/>
    <w:pPr>
      <w:spacing w:before="200" w:after="0" w:line="300" w:lineRule="exact"/>
    </w:pPr>
    <w:rPr>
      <w:rFonts w:ascii="Arial" w:eastAsia="Times" w:hAnsi="Arial"/>
      <w:sz w:val="20"/>
      <w:szCs w:val="20"/>
    </w:rPr>
  </w:style>
  <w:style w:type="character" w:customStyle="1" w:styleId="PPRNormalChar">
    <w:name w:val="PPR_Normal Char"/>
    <w:link w:val="PPRNormal"/>
    <w:uiPriority w:val="5"/>
    <w:rsid w:val="00507A9A"/>
    <w:rPr>
      <w:rFonts w:ascii="Arial" w:eastAsia="Times" w:hAnsi="Arial" w:cs="Times New Roman"/>
      <w:sz w:val="20"/>
      <w:szCs w:val="20"/>
    </w:rPr>
  </w:style>
  <w:style w:type="character" w:customStyle="1" w:styleId="PPRHyperlink">
    <w:name w:val="PPR_Hyperlink"/>
    <w:uiPriority w:val="19"/>
    <w:qFormat/>
    <w:rsid w:val="00507A9A"/>
    <w:rPr>
      <w:noProof w:val="0"/>
      <w:color w:val="0563C1"/>
      <w:u w:val="single"/>
      <w:lang w:val="en-AU"/>
    </w:rPr>
  </w:style>
  <w:style w:type="character" w:customStyle="1" w:styleId="PPRHyperlink-italic">
    <w:name w:val="PPR_Hyperlink-italic"/>
    <w:uiPriority w:val="20"/>
    <w:qFormat/>
    <w:rsid w:val="00507A9A"/>
    <w:rPr>
      <w:rFonts w:eastAsia="Times"/>
      <w:i/>
      <w:noProof w:val="0"/>
      <w:color w:val="0563C1"/>
      <w:u w:val="single"/>
      <w:lang w:val="en-AU"/>
    </w:rPr>
  </w:style>
  <w:style w:type="table" w:styleId="TableGrid">
    <w:name w:val="Table Grid"/>
    <w:basedOn w:val="TableNormal"/>
    <w:uiPriority w:val="39"/>
    <w:rsid w:val="00507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07A9A"/>
    <w:rPr>
      <w:color w:val="0563C1"/>
      <w:u w:val="single"/>
    </w:rPr>
  </w:style>
  <w:style w:type="character" w:styleId="CommentReference">
    <w:name w:val="annotation reference"/>
    <w:uiPriority w:val="99"/>
    <w:unhideWhenUsed/>
    <w:rsid w:val="00507A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7A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7A9A"/>
    <w:rPr>
      <w:rFonts w:ascii="Calibri" w:eastAsia="DengXian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07A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A9A"/>
    <w:rPr>
      <w:rFonts w:ascii="Segoe UI" w:eastAsia="DengXi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C60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60D51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semiHidden/>
    <w:unhideWhenUsed/>
    <w:rsid w:val="00C60D5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B5D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1DB3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B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B0A"/>
    <w:rPr>
      <w:rFonts w:ascii="Calibri" w:eastAsia="DengXi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0642"/>
    <w:pPr>
      <w:spacing w:after="0" w:line="240" w:lineRule="auto"/>
    </w:pPr>
    <w:rPr>
      <w:rFonts w:ascii="Calibri" w:eastAsia="DengXi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F5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778"/>
    <w:rPr>
      <w:rFonts w:ascii="Calibri" w:eastAsia="DengXi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F5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778"/>
    <w:rPr>
      <w:rFonts w:ascii="Calibri" w:eastAsia="DengXian" w:hAnsi="Calibri" w:cs="Times New Roman"/>
    </w:rPr>
  </w:style>
  <w:style w:type="character" w:customStyle="1" w:styleId="listnumber">
    <w:name w:val="listnumber"/>
    <w:basedOn w:val="DefaultParagraphFont"/>
    <w:rsid w:val="00AD1237"/>
  </w:style>
  <w:style w:type="character" w:customStyle="1" w:styleId="PPRBold">
    <w:name w:val="PPR_Bold"/>
    <w:basedOn w:val="PPRNormalChar"/>
    <w:uiPriority w:val="18"/>
    <w:qFormat/>
    <w:rsid w:val="00F53A9C"/>
    <w:rPr>
      <w:rFonts w:ascii="Arial" w:eastAsia="Times" w:hAnsi="Arial" w:cs="Times New Roman"/>
      <w:b/>
      <w:noProof w:val="0"/>
      <w:sz w:val="20"/>
      <w:szCs w:val="20"/>
      <w:lang w:val="en-AU"/>
    </w:rPr>
  </w:style>
  <w:style w:type="paragraph" w:customStyle="1" w:styleId="PPRFootertext">
    <w:name w:val="PPR_Footer_text"/>
    <w:basedOn w:val="Normal"/>
    <w:link w:val="PPRFootertextChar"/>
    <w:uiPriority w:val="29"/>
    <w:qFormat/>
    <w:rsid w:val="00F53A9C"/>
    <w:pPr>
      <w:spacing w:after="0" w:line="240" w:lineRule="auto"/>
      <w:ind w:right="565"/>
    </w:pPr>
    <w:rPr>
      <w:rFonts w:ascii="Arial" w:eastAsia="Arial Unicode MS" w:hAnsi="Arial"/>
      <w:sz w:val="16"/>
      <w:szCs w:val="20"/>
    </w:rPr>
  </w:style>
  <w:style w:type="character" w:customStyle="1" w:styleId="PPRFooterhyperlink">
    <w:name w:val="PPR_Footer_hyperlink"/>
    <w:basedOn w:val="PPRFootertextChar"/>
    <w:uiPriority w:val="30"/>
    <w:qFormat/>
    <w:rsid w:val="00F53A9C"/>
    <w:rPr>
      <w:rFonts w:ascii="Arial" w:eastAsia="Arial Unicode MS" w:hAnsi="Arial" w:cs="Times New Roman"/>
      <w:b w:val="0"/>
      <w:noProof/>
      <w:color w:val="0563C1"/>
      <w:sz w:val="16"/>
      <w:szCs w:val="20"/>
      <w:u w:val="single"/>
      <w:lang w:val="en-AU"/>
    </w:rPr>
  </w:style>
  <w:style w:type="character" w:customStyle="1" w:styleId="PPRFootertextChar">
    <w:name w:val="PPR_Footer_text Char"/>
    <w:basedOn w:val="DefaultParagraphFont"/>
    <w:link w:val="PPRFootertext"/>
    <w:uiPriority w:val="29"/>
    <w:rsid w:val="00F53A9C"/>
    <w:rPr>
      <w:rFonts w:ascii="Arial" w:eastAsia="Arial Unicode MS" w:hAnsi="Arial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qed.qld.gov.au/publications/reports/finance-and-budget/fees-prescribed-in-education-legislation" TargetMode="External"/><Relationship Id="rId18" Type="http://schemas.openxmlformats.org/officeDocument/2006/relationships/hyperlink" Target="https://www.legislation.qld.gov.au/view/html/inforce/current/act-2006-039" TargetMode="External"/><Relationship Id="rId26" Type="http://schemas.openxmlformats.org/officeDocument/2006/relationships/hyperlink" Target="https://www.legislation.qld.gov.au/view/html/inforce/current/act-2006-039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egislation.qld.gov.au/view/html/inforce/current/act-2006-039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legislation.qld.gov.au/view/html/inforce/current/sl-2017-0161" TargetMode="External"/><Relationship Id="rId17" Type="http://schemas.openxmlformats.org/officeDocument/2006/relationships/hyperlink" Target="https://www.legislation.qld.gov.au/view/html/inforce/current/act-2006-039" TargetMode="External"/><Relationship Id="rId25" Type="http://schemas.openxmlformats.org/officeDocument/2006/relationships/hyperlink" Target="https://www.legislation.qld.gov.au/view/html/inforce/current/act-2006-03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qld.gov.au/view/html/inforce/current/act-2006-039" TargetMode="External"/><Relationship Id="rId20" Type="http://schemas.openxmlformats.org/officeDocument/2006/relationships/hyperlink" Target="https://www.legislation.qld.gov.au/view/html/inforce/current/act-2006-039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qld.gov.au/view/html/inforce/current/act-2006-039" TargetMode="External"/><Relationship Id="rId24" Type="http://schemas.openxmlformats.org/officeDocument/2006/relationships/hyperlink" Target="https://www.legislation.qld.gov.au/view/html/inforce/current/act-2006-039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legislation.qld.gov.au/view/html/inforce/current/act-2006-039" TargetMode="External"/><Relationship Id="rId23" Type="http://schemas.openxmlformats.org/officeDocument/2006/relationships/hyperlink" Target="https://www.legislation.qld.gov.au/link?version.series.id=b359c1eb-adee-475f-8603-317b695aaee3&amp;doc.id=act-2006-029&amp;date=2021-11-23&amp;type=act" TargetMode="External"/><Relationship Id="rId28" Type="http://schemas.openxmlformats.org/officeDocument/2006/relationships/hyperlink" Target="https://www.legislation.qld.gov.au/view/html/inforce/current/act-2006-039" TargetMode="External"/><Relationship Id="rId10" Type="http://schemas.openxmlformats.org/officeDocument/2006/relationships/hyperlink" Target="https://www.legislation.qld.gov.au/view/html/inforce/current/act-2006-039" TargetMode="External"/><Relationship Id="rId19" Type="http://schemas.openxmlformats.org/officeDocument/2006/relationships/hyperlink" Target="https://www.legislation.qld.gov.au/view/html/inforce/current/act-2006-039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pr.mpe.qed.qld.gov.au/attachment/school-of-distance-education-sde-application-for-student-enrolment-form-state-school-based-students.docx" TargetMode="External"/><Relationship Id="rId22" Type="http://schemas.openxmlformats.org/officeDocument/2006/relationships/hyperlink" Target="https://www.legislation.qld.gov.au/view/html/inforce/current/act-2006-039" TargetMode="External"/><Relationship Id="rId27" Type="http://schemas.openxmlformats.org/officeDocument/2006/relationships/hyperlink" Target="https://www.legislation.qld.gov.au/view/html/inforce/current/act-2006-039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distance-education-enrolment-and-fees-procedure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Risknumber xmlns="http://schemas.microsoft.com/sharepoint/v3" xsi:nil="true"/>
    <PPRHPRMRecordNumber xmlns="http://schemas.microsoft.com/sharepoint/v3">22/774549</PPRHPRMRecordNumber>
    <PPRAttachmentParent xmlns="http://schemas.microsoft.com/sharepoint/v3">20/706420</PPRAttachmentParent>
    <PPRDecommissioned xmlns="http://schemas.microsoft.com/sharepoint/v3" xsi:nil="true"/>
    <PPReferenceNumber xmlns="16795be8-4374-4e44-895d-be6cdbab3e2c" xsi:nil="true"/>
    <PPRPrimarySubCategory xmlns="16795be8-4374-4e44-895d-be6cdbab3e2c">2</PPRPrimarySubCategory>
    <PPLastReviewedBy xmlns="16795be8-4374-4e44-895d-be6cdbab3e2c">
      <UserInfo>
        <DisplayName>EDINGTON, Jasmine</DisplayName>
        <AccountId>38</AccountId>
        <AccountType/>
      </UserInfo>
    </PPLastReviewedBy>
    <PPModeratedBy xmlns="16795be8-4374-4e44-895d-be6cdbab3e2c">
      <UserInfo>
        <DisplayName>EDINGTON, Jasmine</DisplayName>
        <AccountId>38</AccountId>
        <AccountType/>
      </UserInfo>
    </PPModeratedBy>
    <PPContentAuthor xmlns="16795be8-4374-4e44-895d-be6cdbab3e2c">
      <UserInfo>
        <DisplayName>xs-eip-iis-apppool</DisplayName>
        <AccountId>13747</AccountId>
        <AccountType/>
      </UserInfo>
    </PPContentAuthor>
    <PPRHPRMRevisionNumber xmlns="http://schemas.microsoft.com/sharepoint/v3">6</PPRHPRMRevisionNumber>
    <PublishingStartDate xmlns="http://schemas.microsoft.com/sharepoint/v3" xsi:nil="true"/>
    <PPPublishedNotificationAddresses xmlns="16795be8-4374-4e44-895d-be6cdbab3e2c">alex.moir@qed.qld.gov.au</PPPublishedNotificationAddresses>
    <PPRUpdateNotes xmlns="http://schemas.microsoft.com/sharepoint/v3" xsi:nil="true"/>
    <PPRContentType xmlns="http://schemas.microsoft.com/sharepoint/v3">Supporting information</PPRContentType>
    <PPRHierarchyID xmlns="http://schemas.microsoft.com/sharepoint/v3" xsi:nil="true"/>
    <PPRNotes xmlns="http://schemas.microsoft.com/sharepoint/v3" xsi:nil="true"/>
    <PPRHPRMUpdateDate xmlns="http://schemas.microsoft.com/sharepoint/v3">2023-08-25T04:44:57+00:00</PPRHPRMUpdateDate>
    <PPRPrimaryCategory xmlns="16795be8-4374-4e44-895d-be6cdbab3e2c">1</PPRPrimaryCategory>
    <PPRSecondaryCategory xmlns="16795be8-4374-4e44-895d-be6cdbab3e2c"/>
    <PPRKeywords xmlns="http://schemas.microsoft.com/sharepoint/v3">Queensland state schools; distance education; distance; school of distance education; distance education enrolment; distance education fees; fees; refund; distance education refund; fee waiver; fee exemption;</PPRKeywords>
    <PPRBranch xmlns="http://schemas.microsoft.com/sharepoint/v3">Schools and Student Support</PPRBranch>
    <PPRIsUpdatesPage xmlns="http://schemas.microsoft.com/sharepoint/v3" xsi:nil="true"/>
    <PPRDecommissionedDate xmlns="http://schemas.microsoft.com/sharepoint/v3" xsi:nil="true"/>
    <PPRVersionEffectiveDate xmlns="http://schemas.microsoft.com/sharepoint/v3" xsi:nil="true"/>
    <PPLastReviewedDate xmlns="16795be8-4374-4e44-895d-be6cdbab3e2c">2023-10-17T04:30:35+00:00</PPLastReviewedDate>
    <PPModeratedDate xmlns="16795be8-4374-4e44-895d-be6cdbab3e2c">2023-10-17T04:30:35+00:00</PPModeratedDate>
    <PPSubmittedDate xmlns="16795be8-4374-4e44-895d-be6cdbab3e2c">2023-10-17T04:19:03+00:00</PPSubmittedDate>
    <PPRStatus xmlns="http://schemas.microsoft.com/sharepoint/v3" xsi:nil="true"/>
    <PPRRiskcontrol xmlns="http://schemas.microsoft.com/sharepoint/v3" xsi:nil="true"/>
    <PPContentOwner xmlns="16795be8-4374-4e44-895d-be6cdbab3e2c">
      <UserInfo>
        <DisplayName>KURZ, Kristyn</DisplayName>
        <AccountId>2267</AccountId>
        <AccountType/>
      </UserInfo>
    </PPContentOwner>
    <PublishingExpirationDate xmlns="http://schemas.microsoft.com/sharepoint/v3" xsi:nil="true"/>
    <PPRNewVersion xmlns="http://schemas.microsoft.com/sharepoint/v3" xsi:nil="true"/>
    <PPSubmittedBy xmlns="16795be8-4374-4e44-895d-be6cdbab3e2c">
      <UserInfo>
        <DisplayName>GILLAM, Maddison</DisplayName>
        <AccountId>19895</AccountId>
        <AccountType/>
      </UserInfo>
    </PPSubmittedBy>
    <PPRContentOwner xmlns="http://schemas.microsoft.com/sharepoint/v3">DDG, Schools and Student Support</PPRContentOwner>
    <PPRNominatedApprovers xmlns="http://schemas.microsoft.com/sharepoint/v3">Director; ED; ADG; DDG</PPRNominatedApprovers>
    <PPRVersionNumber xmlns="http://schemas.microsoft.com/sharepoint/v3" xsi:nil="true"/>
    <PPReviewDate xmlns="16795be8-4374-4e44-895d-be6cdbab3e2c" xsi:nil="true"/>
    <PPRBusinessUnit xmlns="http://schemas.microsoft.com/sharepoint/v3">School administration</PPRBusinessUnit>
    <PPRContentAuthor xmlns="http://schemas.microsoft.com/sharepoint/v3">Louise Pellow, Manager</PPRContentAuthor>
    <PPRDivision xmlns="http://schemas.microsoft.com/sharepoint/v3">Early Childhood and State Schools</PPRDivision>
    <PPRPublishedDate xmlns="http://schemas.microsoft.com/sharepoint/v3" xsi:nil="true"/>
    <PPRSecondarySubCategory xmlns="16795be8-4374-4e44-895d-be6cdbab3e2c"/>
    <PPRDescription xmlns="http://schemas.microsoft.com/sharepoint/v3">Fee reference table - distance education</PPRDescription>
    <PPContentApprover xmlns="16795be8-4374-4e44-895d-be6cdbab3e2c">
      <UserInfo>
        <DisplayName>EDINGTON, Jasmine</DisplayName>
        <AccountId>38</AccountId>
        <AccountType/>
      </UserInfo>
    </PPContentApprov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999C26-B41A-4CE7-AFBF-488B4897BE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6795be8-4374-4e44-895d-be6cdbab3e2c"/>
  </ds:schemaRefs>
</ds:datastoreItem>
</file>

<file path=customXml/itemProps2.xml><?xml version="1.0" encoding="utf-8"?>
<ds:datastoreItem xmlns:ds="http://schemas.openxmlformats.org/officeDocument/2006/customXml" ds:itemID="{F2193C42-5AA3-4CE5-9CAF-E80C3D6D9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795be8-4374-4e44-895d-be6cdbab3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CC29F8-78C0-4D52-8B5F-6B4E6569CD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 reference table - distance education</dc:title>
  <dc:subject/>
  <dc:creator>IBBOTSON, Anna</dc:creator>
  <cp:keywords/>
  <dc:description/>
  <cp:lastModifiedBy>Maddison GILLAM</cp:lastModifiedBy>
  <cp:revision>4</cp:revision>
  <dcterms:created xsi:type="dcterms:W3CDTF">2023-08-01T03:54:00Z</dcterms:created>
  <dcterms:modified xsi:type="dcterms:W3CDTF">2023-08-25T04:44:00Z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</Properties>
</file>