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2714" w14:textId="159A8281" w:rsidR="00404BCA" w:rsidRDefault="00E22573" w:rsidP="00965D1A">
      <w:pPr>
        <w:pStyle w:val="Heading2"/>
        <w:spacing w:before="120"/>
        <w:rPr>
          <w:i/>
        </w:rPr>
      </w:pPr>
      <w:r w:rsidRPr="00965D1A">
        <w:rPr>
          <w:i/>
          <w:noProof/>
          <w:lang w:eastAsia="zh-CN"/>
        </w:rPr>
        <mc:AlternateContent>
          <mc:Choice Requires="wps">
            <w:drawing>
              <wp:anchor distT="0" distB="0" distL="114300" distR="114300" simplePos="0" relativeHeight="251659264" behindDoc="1" locked="0" layoutInCell="1" allowOverlap="1" wp14:anchorId="54D8469F" wp14:editId="21EA1408">
                <wp:simplePos x="0" y="0"/>
                <wp:positionH relativeFrom="margin">
                  <wp:posOffset>-114300</wp:posOffset>
                </wp:positionH>
                <wp:positionV relativeFrom="topMargin">
                  <wp:posOffset>469265</wp:posOffset>
                </wp:positionV>
                <wp:extent cx="97092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092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14C57A" w14:textId="36F20D2B" w:rsidR="00E22573" w:rsidRPr="00965D1A" w:rsidRDefault="00965D1A" w:rsidP="00965D1A">
                            <w:pPr>
                              <w:spacing w:after="0" w:line="240" w:lineRule="auto"/>
                              <w:rPr>
                                <w:sz w:val="52"/>
                                <w:szCs w:val="52"/>
                              </w:rPr>
                            </w:pPr>
                            <w:r w:rsidRPr="00965D1A">
                              <w:rPr>
                                <w:sz w:val="52"/>
                                <w:szCs w:val="52"/>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8469F" id="_x0000_t202" coordsize="21600,21600" o:spt="202" path="m,l,21600r21600,l21600,xe">
                <v:stroke joinstyle="miter"/>
                <v:path gradientshapeok="t" o:connecttype="rect"/>
              </v:shapetype>
              <v:shape id="Text Box 1" o:spid="_x0000_s1026" type="#_x0000_t202" style="position:absolute;margin-left:-9pt;margin-top:36.95pt;width:764.5pt;height: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" filled="f" stroked="f">
                <v:textbox>
                  <w:txbxContent>
                    <w:p w14:paraId="6B14C57A" w14:textId="36F20D2B" w:rsidR="00E22573" w:rsidRPr="00965D1A" w:rsidRDefault="00965D1A" w:rsidP="00965D1A">
                      <w:pPr>
                        <w:spacing w:after="0" w:line="240" w:lineRule="auto"/>
                        <w:rPr>
                          <w:sz w:val="52"/>
                          <w:szCs w:val="52"/>
                        </w:rPr>
                      </w:pPr>
                      <w:r w:rsidRPr="00965D1A">
                        <w:rPr>
                          <w:sz w:val="52"/>
                          <w:szCs w:val="52"/>
                        </w:rPr>
                        <w:t>Frequently asked questions</w:t>
                      </w:r>
                    </w:p>
                  </w:txbxContent>
                </v:textbox>
                <w10:wrap anchorx="margin" anchory="margin"/>
              </v:shape>
            </w:pict>
          </mc:Fallback>
        </mc:AlternateContent>
      </w:r>
      <w:r w:rsidR="00965D1A" w:rsidRPr="00965D1A">
        <w:rPr>
          <w:i/>
        </w:rPr>
        <w:t>For state school-based apprenticeships and traineeships</w:t>
      </w:r>
    </w:p>
    <w:tbl>
      <w:tblPr>
        <w:tblStyle w:val="TableGrid"/>
        <w:tblW w:w="15304" w:type="dxa"/>
        <w:tblLook w:val="04A0" w:firstRow="1" w:lastRow="0" w:firstColumn="1" w:lastColumn="0" w:noHBand="0" w:noVBand="1"/>
      </w:tblPr>
      <w:tblGrid>
        <w:gridCol w:w="4815"/>
        <w:gridCol w:w="10489"/>
      </w:tblGrid>
      <w:tr w:rsidR="00965D1A" w:rsidRPr="001C429B" w14:paraId="1E8F8C09" w14:textId="77777777" w:rsidTr="007C1692">
        <w:trPr>
          <w:tblHeader/>
        </w:trPr>
        <w:tc>
          <w:tcPr>
            <w:tcW w:w="4815" w:type="dxa"/>
            <w:shd w:val="clear" w:color="auto" w:fill="BDD6EE" w:themeFill="accent1" w:themeFillTint="66"/>
          </w:tcPr>
          <w:p w14:paraId="06B829B1" w14:textId="77777777" w:rsidR="00965D1A" w:rsidRPr="001C429B" w:rsidRDefault="00965D1A" w:rsidP="007C1692">
            <w:pPr>
              <w:spacing w:before="120"/>
              <w:rPr>
                <w:rFonts w:cs="Arial"/>
                <w:b/>
              </w:rPr>
            </w:pPr>
            <w:r w:rsidRPr="001C429B">
              <w:rPr>
                <w:rFonts w:cs="Arial"/>
                <w:b/>
              </w:rPr>
              <w:t>Question</w:t>
            </w:r>
          </w:p>
        </w:tc>
        <w:tc>
          <w:tcPr>
            <w:tcW w:w="10489" w:type="dxa"/>
            <w:shd w:val="clear" w:color="auto" w:fill="BDD6EE" w:themeFill="accent1" w:themeFillTint="66"/>
          </w:tcPr>
          <w:p w14:paraId="62241D93" w14:textId="77777777" w:rsidR="00965D1A" w:rsidRPr="001C429B" w:rsidRDefault="00965D1A" w:rsidP="007C1692">
            <w:pPr>
              <w:spacing w:before="120"/>
              <w:rPr>
                <w:rFonts w:cs="Arial"/>
                <w:b/>
              </w:rPr>
            </w:pPr>
            <w:r w:rsidRPr="001C429B">
              <w:rPr>
                <w:rFonts w:cs="Arial"/>
                <w:b/>
              </w:rPr>
              <w:t>Answer</w:t>
            </w:r>
          </w:p>
        </w:tc>
      </w:tr>
      <w:tr w:rsidR="00965D1A" w:rsidRPr="001C429B" w14:paraId="42860A42" w14:textId="77777777" w:rsidTr="00F4318D">
        <w:tc>
          <w:tcPr>
            <w:tcW w:w="4815" w:type="dxa"/>
          </w:tcPr>
          <w:p w14:paraId="03FC03E0" w14:textId="77777777" w:rsidR="00965D1A" w:rsidRPr="001C429B" w:rsidRDefault="00965D1A" w:rsidP="00B63E07">
            <w:pPr>
              <w:spacing w:before="40" w:line="240" w:lineRule="auto"/>
              <w:rPr>
                <w:rFonts w:cs="Arial"/>
                <w:sz w:val="20"/>
                <w:szCs w:val="20"/>
              </w:rPr>
            </w:pPr>
            <w:r w:rsidRPr="001C429B">
              <w:rPr>
                <w:rFonts w:cs="Arial"/>
                <w:sz w:val="20"/>
                <w:szCs w:val="20"/>
              </w:rPr>
              <w:t>What is the difference between an apprenticeship and a traineeship?</w:t>
            </w:r>
          </w:p>
        </w:tc>
        <w:tc>
          <w:tcPr>
            <w:tcW w:w="10489" w:type="dxa"/>
          </w:tcPr>
          <w:p w14:paraId="2F65E374" w14:textId="394563E0" w:rsidR="00647888" w:rsidRDefault="00BE7FAF" w:rsidP="007C1692">
            <w:pPr>
              <w:spacing w:before="40" w:line="240" w:lineRule="auto"/>
              <w:rPr>
                <w:rFonts w:cs="Arial"/>
                <w:sz w:val="20"/>
                <w:szCs w:val="20"/>
              </w:rPr>
            </w:pPr>
            <w:hyperlink r:id="rId11" w:history="1">
              <w:r w:rsidR="00647888" w:rsidRPr="006A683D">
                <w:rPr>
                  <w:rStyle w:val="Hyperlink"/>
                  <w:rFonts w:cs="Arial"/>
                  <w:sz w:val="20"/>
                  <w:szCs w:val="20"/>
                </w:rPr>
                <w:t>Apprenticeships and traineeships</w:t>
              </w:r>
            </w:hyperlink>
            <w:r w:rsidR="00647888">
              <w:rPr>
                <w:rFonts w:cs="Arial"/>
                <w:sz w:val="20"/>
                <w:szCs w:val="20"/>
              </w:rPr>
              <w:t xml:space="preserve"> both combine training with paid work in a real job.</w:t>
            </w:r>
          </w:p>
          <w:p w14:paraId="0EDF1CFC" w14:textId="0E0F116D" w:rsidR="00965D1A" w:rsidRDefault="00222533" w:rsidP="007C1692">
            <w:pPr>
              <w:spacing w:before="40" w:line="240" w:lineRule="auto"/>
              <w:rPr>
                <w:rFonts w:cs="Arial"/>
                <w:sz w:val="20"/>
                <w:szCs w:val="20"/>
              </w:rPr>
            </w:pPr>
            <w:r>
              <w:rPr>
                <w:rFonts w:cs="Arial"/>
                <w:sz w:val="20"/>
                <w:szCs w:val="20"/>
              </w:rPr>
              <w:t xml:space="preserve">Apprenticeships involve training in a skilled trade such as electrical, carpentry, hairdressing, </w:t>
            </w:r>
            <w:r w:rsidR="00647888">
              <w:rPr>
                <w:rFonts w:cs="Arial"/>
                <w:sz w:val="20"/>
                <w:szCs w:val="20"/>
              </w:rPr>
              <w:t>and sign writing leading to a minimum of a Certificate III qualification.</w:t>
            </w:r>
            <w:r>
              <w:rPr>
                <w:rFonts w:cs="Arial"/>
                <w:sz w:val="20"/>
                <w:szCs w:val="20"/>
              </w:rPr>
              <w:t xml:space="preserve"> </w:t>
            </w:r>
            <w:r w:rsidR="00647888">
              <w:rPr>
                <w:rFonts w:cs="Arial"/>
                <w:sz w:val="20"/>
                <w:szCs w:val="20"/>
              </w:rPr>
              <w:t>An apprenticeship generally take</w:t>
            </w:r>
            <w:r w:rsidR="007020D7">
              <w:rPr>
                <w:rFonts w:cs="Arial"/>
                <w:sz w:val="20"/>
                <w:szCs w:val="20"/>
              </w:rPr>
              <w:t>s</w:t>
            </w:r>
            <w:r w:rsidR="00647888">
              <w:rPr>
                <w:rFonts w:cs="Arial"/>
                <w:sz w:val="20"/>
                <w:szCs w:val="20"/>
              </w:rPr>
              <w:t xml:space="preserve"> 3-4 years full-time to complete and results in the apprentice</w:t>
            </w:r>
            <w:r w:rsidR="0019280B">
              <w:rPr>
                <w:rFonts w:cs="Arial"/>
                <w:sz w:val="20"/>
                <w:szCs w:val="20"/>
              </w:rPr>
              <w:t xml:space="preserve"> becoming</w:t>
            </w:r>
            <w:r>
              <w:rPr>
                <w:rFonts w:cs="Arial"/>
                <w:sz w:val="20"/>
                <w:szCs w:val="20"/>
              </w:rPr>
              <w:t xml:space="preserve"> a qualified tradesperson.</w:t>
            </w:r>
          </w:p>
          <w:p w14:paraId="762D4A3D" w14:textId="554A4B1B" w:rsidR="00222533" w:rsidRPr="001C429B" w:rsidRDefault="0019280B" w:rsidP="007C1692">
            <w:pPr>
              <w:spacing w:before="40" w:line="240" w:lineRule="auto"/>
              <w:rPr>
                <w:rFonts w:cs="Arial"/>
                <w:sz w:val="20"/>
                <w:szCs w:val="20"/>
              </w:rPr>
            </w:pPr>
            <w:r>
              <w:rPr>
                <w:rFonts w:cs="Arial"/>
                <w:sz w:val="20"/>
                <w:szCs w:val="20"/>
              </w:rPr>
              <w:t>Traineeships involve</w:t>
            </w:r>
            <w:r w:rsidR="00222533">
              <w:rPr>
                <w:rFonts w:cs="Arial"/>
                <w:sz w:val="20"/>
                <w:szCs w:val="20"/>
              </w:rPr>
              <w:t xml:space="preserve"> training in vocational areas such as office administration, tourism, warehousing, </w:t>
            </w:r>
            <w:r w:rsidR="007B3868">
              <w:rPr>
                <w:rFonts w:cs="Arial"/>
                <w:sz w:val="20"/>
                <w:szCs w:val="20"/>
              </w:rPr>
              <w:t xml:space="preserve">and </w:t>
            </w:r>
            <w:r w:rsidR="00222533">
              <w:rPr>
                <w:rFonts w:cs="Arial"/>
                <w:sz w:val="20"/>
                <w:szCs w:val="20"/>
              </w:rPr>
              <w:t>real estate</w:t>
            </w:r>
            <w:r w:rsidR="007B3868">
              <w:rPr>
                <w:rFonts w:cs="Arial"/>
                <w:sz w:val="20"/>
                <w:szCs w:val="20"/>
              </w:rPr>
              <w:t>. Upon completion, trainees will receive a minimum of a Certificate II in the chosen vocational area.</w:t>
            </w:r>
          </w:p>
        </w:tc>
      </w:tr>
      <w:tr w:rsidR="000622D8" w:rsidRPr="001C429B" w14:paraId="757999B8" w14:textId="77777777" w:rsidTr="00F4318D">
        <w:tc>
          <w:tcPr>
            <w:tcW w:w="4815" w:type="dxa"/>
          </w:tcPr>
          <w:p w14:paraId="640F6725" w14:textId="03BFA84B" w:rsidR="000622D8" w:rsidRPr="001C429B" w:rsidRDefault="005D3A6C" w:rsidP="000622D8">
            <w:pPr>
              <w:spacing w:before="40" w:line="240" w:lineRule="auto"/>
              <w:rPr>
                <w:rFonts w:cs="Arial"/>
                <w:sz w:val="20"/>
                <w:szCs w:val="20"/>
              </w:rPr>
            </w:pPr>
            <w:r>
              <w:rPr>
                <w:rFonts w:cs="Arial"/>
                <w:sz w:val="20"/>
                <w:szCs w:val="20"/>
              </w:rPr>
              <w:t>How does a school-based apprenticeship or traineeship (SAT)</w:t>
            </w:r>
            <w:r w:rsidR="000622D8">
              <w:rPr>
                <w:rFonts w:cs="Arial"/>
                <w:sz w:val="20"/>
                <w:szCs w:val="20"/>
              </w:rPr>
              <w:t xml:space="preserve"> work?</w:t>
            </w:r>
          </w:p>
        </w:tc>
        <w:tc>
          <w:tcPr>
            <w:tcW w:w="10489" w:type="dxa"/>
          </w:tcPr>
          <w:p w14:paraId="3DF4DAC5" w14:textId="520C4A0F" w:rsidR="000622D8" w:rsidRDefault="000622D8" w:rsidP="000622D8">
            <w:pPr>
              <w:spacing w:before="40" w:line="240" w:lineRule="auto"/>
              <w:rPr>
                <w:rFonts w:cs="Arial"/>
                <w:sz w:val="20"/>
                <w:szCs w:val="20"/>
              </w:rPr>
            </w:pPr>
            <w:r>
              <w:rPr>
                <w:rFonts w:cs="Arial"/>
                <w:sz w:val="20"/>
                <w:szCs w:val="20"/>
              </w:rPr>
              <w:t xml:space="preserve">The </w:t>
            </w:r>
            <w:hyperlink r:id="rId12" w:history="1">
              <w:r w:rsidRPr="006A683D">
                <w:rPr>
                  <w:rStyle w:val="Hyperlink"/>
                  <w:rFonts w:cs="Arial"/>
                  <w:sz w:val="20"/>
                  <w:szCs w:val="20"/>
                </w:rPr>
                <w:t>arrangements for the SAT</w:t>
              </w:r>
            </w:hyperlink>
            <w:r>
              <w:rPr>
                <w:rFonts w:cs="Arial"/>
                <w:sz w:val="20"/>
                <w:szCs w:val="20"/>
              </w:rPr>
              <w:t xml:space="preserve"> are negotiated between the student, parent/carer (if under 18 years of age), school, employer</w:t>
            </w:r>
            <w:r w:rsidR="00C65706">
              <w:rPr>
                <w:rFonts w:cs="Arial"/>
                <w:sz w:val="20"/>
                <w:szCs w:val="20"/>
              </w:rPr>
              <w:t xml:space="preserve"> and</w:t>
            </w:r>
            <w:r>
              <w:rPr>
                <w:rFonts w:cs="Arial"/>
                <w:sz w:val="20"/>
                <w:szCs w:val="20"/>
              </w:rPr>
              <w:t xml:space="preserve"> Supervising Registered Training Organisation (SRTO) </w:t>
            </w:r>
            <w:r w:rsidR="00A25DA4">
              <w:rPr>
                <w:rFonts w:cs="Arial"/>
                <w:sz w:val="20"/>
                <w:szCs w:val="20"/>
              </w:rPr>
              <w:t>with the assistance of</w:t>
            </w:r>
            <w:r w:rsidR="001B60A6">
              <w:rPr>
                <w:rFonts w:cs="Arial"/>
                <w:sz w:val="20"/>
                <w:szCs w:val="20"/>
              </w:rPr>
              <w:t xml:space="preserve"> an </w:t>
            </w:r>
            <w:r>
              <w:rPr>
                <w:rFonts w:cs="Arial"/>
                <w:sz w:val="20"/>
                <w:szCs w:val="20"/>
              </w:rPr>
              <w:t xml:space="preserve">Australian Apprenticeship Support Network (AASN) provider. Everyone works together to develop and agree on a schedule which will allow the prospective apprentice/trainee to combine school studies, employment and training. </w:t>
            </w:r>
          </w:p>
        </w:tc>
      </w:tr>
      <w:tr w:rsidR="002C75D8" w:rsidRPr="001C429B" w14:paraId="70AAACAF" w14:textId="77777777" w:rsidTr="00F4318D">
        <w:tc>
          <w:tcPr>
            <w:tcW w:w="4815" w:type="dxa"/>
          </w:tcPr>
          <w:p w14:paraId="31C4B9D4" w14:textId="58CFB94C" w:rsidR="002C75D8" w:rsidRPr="001C429B" w:rsidRDefault="002C75D8" w:rsidP="002C75D8">
            <w:pPr>
              <w:spacing w:before="40" w:line="240" w:lineRule="auto"/>
              <w:rPr>
                <w:rFonts w:cs="Arial"/>
                <w:sz w:val="20"/>
                <w:szCs w:val="20"/>
              </w:rPr>
            </w:pPr>
            <w:r w:rsidRPr="001C429B">
              <w:rPr>
                <w:rFonts w:cs="Arial"/>
                <w:sz w:val="20"/>
                <w:szCs w:val="20"/>
              </w:rPr>
              <w:t>When can a student commence a SAT?</w:t>
            </w:r>
          </w:p>
        </w:tc>
        <w:tc>
          <w:tcPr>
            <w:tcW w:w="10489" w:type="dxa"/>
          </w:tcPr>
          <w:p w14:paraId="6866731D" w14:textId="1A5F9415" w:rsidR="002C75D8" w:rsidRDefault="002C75D8" w:rsidP="002C75D8">
            <w:pPr>
              <w:spacing w:before="40" w:line="240" w:lineRule="auto"/>
              <w:rPr>
                <w:rFonts w:cs="Arial"/>
                <w:sz w:val="20"/>
                <w:szCs w:val="20"/>
              </w:rPr>
            </w:pPr>
            <w:r>
              <w:rPr>
                <w:rFonts w:cs="Arial"/>
                <w:sz w:val="20"/>
                <w:szCs w:val="20"/>
              </w:rPr>
              <w:t>Generally SATs are undertaken in Years 10, 11 or 12. In exceptional circumstances a student in another year level may be considered for a SAT. Further information about developing a business case for consideration is available at D</w:t>
            </w:r>
            <w:r w:rsidR="005D3A6C">
              <w:rPr>
                <w:rFonts w:cs="Arial"/>
                <w:sz w:val="20"/>
                <w:szCs w:val="20"/>
              </w:rPr>
              <w:t>epartment of</w:t>
            </w:r>
            <w:r w:rsidR="00CB1F7B">
              <w:rPr>
                <w:rFonts w:cs="Arial"/>
                <w:sz w:val="20"/>
                <w:szCs w:val="20"/>
              </w:rPr>
              <w:t xml:space="preserve"> </w:t>
            </w:r>
            <w:r w:rsidR="005D3A6C">
              <w:rPr>
                <w:rFonts w:cs="Arial"/>
                <w:sz w:val="20"/>
                <w:szCs w:val="20"/>
              </w:rPr>
              <w:t>Employment, Small Business and Training (D</w:t>
            </w:r>
            <w:r>
              <w:rPr>
                <w:rFonts w:cs="Arial"/>
                <w:sz w:val="20"/>
                <w:szCs w:val="20"/>
              </w:rPr>
              <w:t>ESBT</w:t>
            </w:r>
            <w:r w:rsidR="005D3A6C">
              <w:rPr>
                <w:rFonts w:cs="Arial"/>
                <w:sz w:val="20"/>
                <w:szCs w:val="20"/>
              </w:rPr>
              <w:t>)</w:t>
            </w:r>
            <w:r>
              <w:rPr>
                <w:rFonts w:cs="Arial"/>
                <w:sz w:val="20"/>
                <w:szCs w:val="20"/>
              </w:rPr>
              <w:t xml:space="preserve">’s </w:t>
            </w:r>
            <w:hyperlink r:id="rId13" w:history="1">
              <w:r w:rsidRPr="00542E73">
                <w:rPr>
                  <w:rStyle w:val="Hyperlink"/>
                  <w:rFonts w:cs="Arial"/>
                  <w:sz w:val="20"/>
                  <w:szCs w:val="20"/>
                </w:rPr>
                <w:t>Guide to school-based apprenticeships and traineeships</w:t>
              </w:r>
            </w:hyperlink>
            <w:r>
              <w:rPr>
                <w:rFonts w:cs="Arial"/>
                <w:sz w:val="20"/>
                <w:szCs w:val="20"/>
              </w:rPr>
              <w:t>.</w:t>
            </w:r>
          </w:p>
          <w:p w14:paraId="6319D26E" w14:textId="3B7EFF83" w:rsidR="0019280B" w:rsidRDefault="0019280B" w:rsidP="00BE5ABD">
            <w:pPr>
              <w:spacing w:before="40" w:line="240" w:lineRule="auto"/>
              <w:rPr>
                <w:rFonts w:cs="Arial"/>
                <w:sz w:val="20"/>
                <w:szCs w:val="20"/>
              </w:rPr>
            </w:pPr>
            <w:r>
              <w:rPr>
                <w:rFonts w:cs="Arial"/>
                <w:sz w:val="20"/>
                <w:szCs w:val="20"/>
              </w:rPr>
              <w:t xml:space="preserve">For the electrotechnology industry, only students in Years 11 or 12 are eligible to enter into school-based apprenticeships. </w:t>
            </w:r>
            <w:r w:rsidR="00BE5ABD">
              <w:rPr>
                <w:rFonts w:cs="Arial"/>
                <w:sz w:val="20"/>
                <w:szCs w:val="20"/>
              </w:rPr>
              <w:t xml:space="preserve">However, students must meet additional </w:t>
            </w:r>
            <w:hyperlink r:id="rId14" w:history="1">
              <w:r w:rsidR="00BE5ABD" w:rsidRPr="00BE5ABD">
                <w:rPr>
                  <w:rStyle w:val="Hyperlink"/>
                  <w:rFonts w:cs="Arial"/>
                  <w:sz w:val="20"/>
                  <w:szCs w:val="20"/>
                </w:rPr>
                <w:t>criteria for school-based apprenticeships in electrotechnology qualifications</w:t>
              </w:r>
            </w:hyperlink>
            <w:r w:rsidR="00BE5ABD">
              <w:rPr>
                <w:rFonts w:cs="Arial"/>
                <w:sz w:val="20"/>
                <w:szCs w:val="20"/>
              </w:rPr>
              <w:t>.</w:t>
            </w:r>
          </w:p>
        </w:tc>
      </w:tr>
      <w:tr w:rsidR="0027371F" w:rsidRPr="001C429B" w14:paraId="5AC0742D" w14:textId="77777777" w:rsidTr="00F4318D">
        <w:tc>
          <w:tcPr>
            <w:tcW w:w="4815" w:type="dxa"/>
          </w:tcPr>
          <w:p w14:paraId="1D6F56CB" w14:textId="730CC3F2" w:rsidR="0027371F" w:rsidRPr="001C429B" w:rsidRDefault="0027371F" w:rsidP="0027371F">
            <w:pPr>
              <w:spacing w:before="40" w:line="240" w:lineRule="auto"/>
              <w:rPr>
                <w:rFonts w:cs="Arial"/>
                <w:sz w:val="20"/>
                <w:szCs w:val="20"/>
              </w:rPr>
            </w:pPr>
            <w:r w:rsidRPr="00323D72">
              <w:rPr>
                <w:rFonts w:cs="Arial"/>
                <w:sz w:val="20"/>
                <w:szCs w:val="20"/>
              </w:rPr>
              <w:t>Why is the development of a business case required for students</w:t>
            </w:r>
            <w:r w:rsidR="00CD67E8">
              <w:rPr>
                <w:rFonts w:cs="Arial"/>
                <w:sz w:val="20"/>
                <w:szCs w:val="20"/>
              </w:rPr>
              <w:t xml:space="preserve"> outside Years 10, 11 and 12 who are</w:t>
            </w:r>
            <w:r w:rsidRPr="00323D72">
              <w:rPr>
                <w:rFonts w:cs="Arial"/>
                <w:sz w:val="20"/>
                <w:szCs w:val="20"/>
              </w:rPr>
              <w:t xml:space="preserve"> interested in commencing a SAT?</w:t>
            </w:r>
          </w:p>
        </w:tc>
        <w:tc>
          <w:tcPr>
            <w:tcW w:w="10489" w:type="dxa"/>
          </w:tcPr>
          <w:p w14:paraId="5BCB931E" w14:textId="77777777" w:rsidR="0027371F" w:rsidRPr="00323D72" w:rsidRDefault="0027371F" w:rsidP="0027371F">
            <w:pPr>
              <w:spacing w:before="40" w:line="240" w:lineRule="auto"/>
              <w:rPr>
                <w:rFonts w:cs="Arial"/>
                <w:sz w:val="20"/>
                <w:szCs w:val="20"/>
              </w:rPr>
            </w:pPr>
            <w:r w:rsidRPr="00323D72">
              <w:rPr>
                <w:rFonts w:cs="Arial"/>
                <w:sz w:val="20"/>
                <w:szCs w:val="20"/>
              </w:rPr>
              <w:t xml:space="preserve">SATs are most appropriate for Year 10, 11 or 12 students who have developed a Senior Education and Training (SET) Plan and begun making decisions about their future pathways. </w:t>
            </w:r>
          </w:p>
          <w:p w14:paraId="2BD7C895" w14:textId="4253282B" w:rsidR="0027371F" w:rsidRPr="00323D72" w:rsidRDefault="0027371F" w:rsidP="0027371F">
            <w:pPr>
              <w:spacing w:before="40" w:line="240" w:lineRule="auto"/>
              <w:rPr>
                <w:rFonts w:cs="Arial"/>
                <w:sz w:val="20"/>
                <w:szCs w:val="20"/>
              </w:rPr>
            </w:pPr>
            <w:r w:rsidRPr="00323D72">
              <w:rPr>
                <w:rFonts w:cs="Arial"/>
                <w:sz w:val="20"/>
                <w:szCs w:val="20"/>
              </w:rPr>
              <w:t>If a school and/or parent/carer believe</w:t>
            </w:r>
            <w:r w:rsidR="00C65706">
              <w:rPr>
                <w:rFonts w:cs="Arial"/>
                <w:sz w:val="20"/>
                <w:szCs w:val="20"/>
              </w:rPr>
              <w:t>s</w:t>
            </w:r>
            <w:r w:rsidRPr="00323D72">
              <w:rPr>
                <w:rFonts w:cs="Arial"/>
                <w:sz w:val="20"/>
                <w:szCs w:val="20"/>
              </w:rPr>
              <w:t xml:space="preserve"> it would be suitable for a student</w:t>
            </w:r>
            <w:r w:rsidR="00CD67E8">
              <w:rPr>
                <w:rFonts w:cs="Arial"/>
                <w:sz w:val="20"/>
                <w:szCs w:val="20"/>
              </w:rPr>
              <w:t xml:space="preserve"> outside of Years 10, 11 and 12</w:t>
            </w:r>
            <w:r w:rsidRPr="00323D72">
              <w:rPr>
                <w:rFonts w:cs="Arial"/>
                <w:sz w:val="20"/>
                <w:szCs w:val="20"/>
              </w:rPr>
              <w:t xml:space="preserve"> to commence a SAT, then a business case is required to detail:</w:t>
            </w:r>
          </w:p>
          <w:p w14:paraId="1036B813" w14:textId="77777777" w:rsidR="0027371F" w:rsidRPr="00323D72" w:rsidRDefault="0027371F" w:rsidP="0027371F">
            <w:pPr>
              <w:pStyle w:val="ListParagraph"/>
              <w:numPr>
                <w:ilvl w:val="1"/>
                <w:numId w:val="11"/>
              </w:numPr>
              <w:spacing w:before="40" w:after="40" w:line="240" w:lineRule="auto"/>
              <w:ind w:left="312" w:hanging="312"/>
              <w:rPr>
                <w:rFonts w:cs="Arial"/>
                <w:sz w:val="20"/>
                <w:szCs w:val="20"/>
              </w:rPr>
            </w:pPr>
            <w:r w:rsidRPr="00323D72">
              <w:rPr>
                <w:rFonts w:cs="Arial"/>
                <w:sz w:val="20"/>
                <w:szCs w:val="20"/>
              </w:rPr>
              <w:t>the reason for the student commencing the SAT earlier than Year 10</w:t>
            </w:r>
          </w:p>
          <w:p w14:paraId="1E40705E" w14:textId="77777777" w:rsidR="0027371F" w:rsidRPr="00323D72" w:rsidRDefault="0027371F" w:rsidP="0027371F">
            <w:pPr>
              <w:pStyle w:val="ListParagraph"/>
              <w:numPr>
                <w:ilvl w:val="1"/>
                <w:numId w:val="11"/>
              </w:numPr>
              <w:spacing w:before="40" w:after="40" w:line="240" w:lineRule="auto"/>
              <w:ind w:left="312" w:hanging="312"/>
              <w:rPr>
                <w:rFonts w:cs="Arial"/>
                <w:sz w:val="20"/>
                <w:szCs w:val="20"/>
              </w:rPr>
            </w:pPr>
            <w:r w:rsidRPr="00323D72">
              <w:rPr>
                <w:rFonts w:cs="Arial"/>
                <w:sz w:val="20"/>
                <w:szCs w:val="20"/>
              </w:rPr>
              <w:t>career aspirations following the completion of the SAT, and</w:t>
            </w:r>
          </w:p>
          <w:p w14:paraId="29239A38" w14:textId="77777777" w:rsidR="0027371F" w:rsidRPr="00323D72" w:rsidRDefault="0027371F" w:rsidP="0027371F">
            <w:pPr>
              <w:pStyle w:val="ListParagraph"/>
              <w:numPr>
                <w:ilvl w:val="1"/>
                <w:numId w:val="11"/>
              </w:numPr>
              <w:spacing w:before="40" w:line="240" w:lineRule="auto"/>
              <w:ind w:left="311" w:hanging="311"/>
              <w:rPr>
                <w:rFonts w:cs="Arial"/>
                <w:sz w:val="20"/>
                <w:szCs w:val="20"/>
              </w:rPr>
            </w:pPr>
            <w:r w:rsidRPr="00323D72">
              <w:rPr>
                <w:rFonts w:cs="Arial"/>
                <w:sz w:val="20"/>
                <w:szCs w:val="20"/>
              </w:rPr>
              <w:t xml:space="preserve">the support provisions which will be made available to the student. </w:t>
            </w:r>
          </w:p>
          <w:p w14:paraId="53616730" w14:textId="55E0288A" w:rsidR="0027371F" w:rsidRDefault="0027371F" w:rsidP="0027371F">
            <w:pPr>
              <w:spacing w:before="40" w:line="240" w:lineRule="auto"/>
              <w:rPr>
                <w:rFonts w:cs="Arial"/>
                <w:sz w:val="20"/>
                <w:szCs w:val="20"/>
              </w:rPr>
            </w:pPr>
            <w:r w:rsidRPr="00323D72">
              <w:rPr>
                <w:rFonts w:cs="Arial"/>
                <w:sz w:val="20"/>
                <w:szCs w:val="20"/>
              </w:rPr>
              <w:t>If the training contract commences at the end of the student’s Year 9 school year and the student is enrolled to return to school to start Year 10 the next year, a business case is not required.</w:t>
            </w:r>
          </w:p>
        </w:tc>
      </w:tr>
      <w:tr w:rsidR="0027371F" w:rsidRPr="001C429B" w14:paraId="0C31B7DB" w14:textId="77777777" w:rsidTr="00F4318D">
        <w:tc>
          <w:tcPr>
            <w:tcW w:w="4815" w:type="dxa"/>
          </w:tcPr>
          <w:p w14:paraId="2B4468CF" w14:textId="614B19E6" w:rsidR="0027371F" w:rsidRPr="001C429B" w:rsidRDefault="0027371F" w:rsidP="0027371F">
            <w:pPr>
              <w:spacing w:before="40" w:line="240" w:lineRule="auto"/>
              <w:rPr>
                <w:rFonts w:cs="Arial"/>
                <w:sz w:val="20"/>
                <w:szCs w:val="20"/>
              </w:rPr>
            </w:pPr>
            <w:r w:rsidRPr="001C429B">
              <w:rPr>
                <w:rFonts w:cs="Arial"/>
                <w:sz w:val="20"/>
                <w:szCs w:val="20"/>
              </w:rPr>
              <w:lastRenderedPageBreak/>
              <w:t>What are the benefits of commencing a</w:t>
            </w:r>
            <w:r>
              <w:rPr>
                <w:rFonts w:cs="Arial"/>
                <w:sz w:val="20"/>
                <w:szCs w:val="20"/>
              </w:rPr>
              <w:t>n apprenticeship or traineeship at school?</w:t>
            </w:r>
            <w:r w:rsidRPr="001C429B">
              <w:rPr>
                <w:rFonts w:cs="Arial"/>
                <w:sz w:val="20"/>
                <w:szCs w:val="20"/>
              </w:rPr>
              <w:t xml:space="preserve"> </w:t>
            </w:r>
            <w:r>
              <w:rPr>
                <w:rFonts w:cs="Arial"/>
                <w:sz w:val="20"/>
                <w:szCs w:val="20"/>
              </w:rPr>
              <w:t xml:space="preserve"> </w:t>
            </w:r>
          </w:p>
        </w:tc>
        <w:tc>
          <w:tcPr>
            <w:tcW w:w="10489" w:type="dxa"/>
          </w:tcPr>
          <w:p w14:paraId="7D42C3F6" w14:textId="0B38C9F3" w:rsidR="0027371F" w:rsidRDefault="0027371F" w:rsidP="0027371F">
            <w:pPr>
              <w:spacing w:before="40" w:after="40" w:line="240" w:lineRule="auto"/>
              <w:rPr>
                <w:rFonts w:cs="Arial"/>
                <w:sz w:val="20"/>
                <w:szCs w:val="20"/>
              </w:rPr>
            </w:pPr>
            <w:r>
              <w:rPr>
                <w:rFonts w:cs="Arial"/>
                <w:sz w:val="20"/>
                <w:szCs w:val="20"/>
              </w:rPr>
              <w:t xml:space="preserve">The </w:t>
            </w:r>
            <w:hyperlink r:id="rId15" w:history="1">
              <w:r w:rsidRPr="00C02CDC">
                <w:rPr>
                  <w:rStyle w:val="Hyperlink"/>
                  <w:rFonts w:cs="Arial"/>
                  <w:sz w:val="20"/>
                  <w:szCs w:val="20"/>
                </w:rPr>
                <w:t>benefits for students</w:t>
              </w:r>
            </w:hyperlink>
            <w:r>
              <w:rPr>
                <w:rFonts w:cs="Arial"/>
                <w:sz w:val="20"/>
                <w:szCs w:val="20"/>
              </w:rPr>
              <w:t xml:space="preserve"> undertaking an apprenticeship or traineeship at school include: </w:t>
            </w:r>
          </w:p>
          <w:p w14:paraId="6274ADF1" w14:textId="52703BED" w:rsidR="0027371F" w:rsidRDefault="0027371F" w:rsidP="0027371F">
            <w:pPr>
              <w:pStyle w:val="ListParagraph"/>
              <w:numPr>
                <w:ilvl w:val="0"/>
                <w:numId w:val="4"/>
              </w:numPr>
              <w:spacing w:before="40" w:after="40" w:line="240" w:lineRule="auto"/>
              <w:rPr>
                <w:rFonts w:cs="Arial"/>
                <w:sz w:val="20"/>
                <w:szCs w:val="20"/>
              </w:rPr>
            </w:pPr>
            <w:r>
              <w:rPr>
                <w:rFonts w:cs="Arial"/>
                <w:sz w:val="20"/>
                <w:szCs w:val="20"/>
              </w:rPr>
              <w:t>motivating young people to work towards their future goals by giving them realistic exposure to an industry</w:t>
            </w:r>
          </w:p>
          <w:p w14:paraId="71D8A0EA" w14:textId="36B7D555" w:rsidR="0027371F" w:rsidRDefault="0027371F" w:rsidP="0027371F">
            <w:pPr>
              <w:pStyle w:val="ListParagraph"/>
              <w:numPr>
                <w:ilvl w:val="0"/>
                <w:numId w:val="4"/>
              </w:numPr>
              <w:spacing w:before="40" w:after="40" w:line="240" w:lineRule="auto"/>
              <w:rPr>
                <w:rFonts w:cs="Arial"/>
                <w:sz w:val="20"/>
                <w:szCs w:val="20"/>
              </w:rPr>
            </w:pPr>
            <w:r w:rsidRPr="009955E8">
              <w:rPr>
                <w:rFonts w:cs="Arial"/>
                <w:sz w:val="20"/>
                <w:szCs w:val="20"/>
              </w:rPr>
              <w:t>developing workplace skills and knowledge and confidence leading to gaining a competitive edge over other students when applying for jobs</w:t>
            </w:r>
          </w:p>
          <w:p w14:paraId="1CB36366" w14:textId="457FE4C3" w:rsidR="0027371F" w:rsidRPr="009955E8" w:rsidRDefault="0027371F" w:rsidP="0027371F">
            <w:pPr>
              <w:pStyle w:val="ListParagraph"/>
              <w:numPr>
                <w:ilvl w:val="0"/>
                <w:numId w:val="4"/>
              </w:numPr>
              <w:spacing w:before="40" w:after="40" w:line="240" w:lineRule="auto"/>
              <w:rPr>
                <w:rFonts w:cs="Arial"/>
                <w:sz w:val="20"/>
                <w:szCs w:val="20"/>
              </w:rPr>
            </w:pPr>
            <w:r>
              <w:rPr>
                <w:rFonts w:cs="Arial"/>
                <w:sz w:val="20"/>
                <w:szCs w:val="20"/>
              </w:rPr>
              <w:t>participating in paid employment and obtaining a Certificate II or higher qualification whilst still at school</w:t>
            </w:r>
          </w:p>
          <w:p w14:paraId="7A759713" w14:textId="040DE936" w:rsidR="0027371F" w:rsidRPr="00BE5ABD" w:rsidRDefault="0027371F" w:rsidP="0027371F">
            <w:pPr>
              <w:pStyle w:val="ListParagraph"/>
              <w:numPr>
                <w:ilvl w:val="0"/>
                <w:numId w:val="4"/>
              </w:numPr>
              <w:spacing w:before="40" w:after="40" w:line="240" w:lineRule="auto"/>
              <w:rPr>
                <w:rFonts w:cs="Arial"/>
                <w:sz w:val="20"/>
                <w:szCs w:val="20"/>
              </w:rPr>
            </w:pPr>
            <w:r w:rsidRPr="009955E8">
              <w:rPr>
                <w:rFonts w:cs="Arial"/>
                <w:sz w:val="20"/>
                <w:szCs w:val="20"/>
              </w:rPr>
              <w:t>working towards a nationally recognised qualification which can contribute towards a Queen</w:t>
            </w:r>
            <w:r>
              <w:rPr>
                <w:rFonts w:cs="Arial"/>
                <w:sz w:val="20"/>
                <w:szCs w:val="20"/>
              </w:rPr>
              <w:t>sland Certificate of Education.</w:t>
            </w:r>
          </w:p>
        </w:tc>
      </w:tr>
      <w:tr w:rsidR="0027371F" w:rsidRPr="001C429B" w14:paraId="034F2083" w14:textId="77777777" w:rsidTr="00F4318D">
        <w:tc>
          <w:tcPr>
            <w:tcW w:w="4815" w:type="dxa"/>
          </w:tcPr>
          <w:p w14:paraId="4D8B2583" w14:textId="28FDB826" w:rsidR="0027371F" w:rsidRPr="001C429B" w:rsidRDefault="0027371F" w:rsidP="0027371F">
            <w:pPr>
              <w:spacing w:before="40" w:line="240" w:lineRule="auto"/>
              <w:rPr>
                <w:rFonts w:cs="Arial"/>
                <w:sz w:val="20"/>
                <w:szCs w:val="20"/>
              </w:rPr>
            </w:pPr>
            <w:r>
              <w:rPr>
                <w:rFonts w:cs="Arial"/>
                <w:sz w:val="20"/>
                <w:szCs w:val="20"/>
              </w:rPr>
              <w:t>How does</w:t>
            </w:r>
            <w:r w:rsidRPr="001C429B">
              <w:rPr>
                <w:rFonts w:cs="Arial"/>
                <w:sz w:val="20"/>
                <w:szCs w:val="20"/>
              </w:rPr>
              <w:t xml:space="preserve"> achievement in a SAT contribute to the Queensland Certificate of Education</w:t>
            </w:r>
            <w:r>
              <w:rPr>
                <w:rFonts w:cs="Arial"/>
                <w:sz w:val="20"/>
                <w:szCs w:val="20"/>
              </w:rPr>
              <w:t xml:space="preserve"> (QCE) or Queensland Certificate of Individual Achievement (QCIA)</w:t>
            </w:r>
            <w:r w:rsidRPr="001C429B">
              <w:rPr>
                <w:rFonts w:cs="Arial"/>
                <w:sz w:val="20"/>
                <w:szCs w:val="20"/>
              </w:rPr>
              <w:t>?</w:t>
            </w:r>
          </w:p>
        </w:tc>
        <w:tc>
          <w:tcPr>
            <w:tcW w:w="10489" w:type="dxa"/>
          </w:tcPr>
          <w:p w14:paraId="77089F4B" w14:textId="3181ECD8" w:rsidR="0027371F" w:rsidRDefault="0027371F" w:rsidP="0027371F">
            <w:pPr>
              <w:spacing w:before="40" w:line="240" w:lineRule="auto"/>
              <w:rPr>
                <w:rFonts w:cs="Arial"/>
                <w:sz w:val="20"/>
                <w:szCs w:val="20"/>
              </w:rPr>
            </w:pPr>
            <w:r>
              <w:rPr>
                <w:rFonts w:cs="Arial"/>
                <w:sz w:val="20"/>
                <w:szCs w:val="20"/>
              </w:rPr>
              <w:t xml:space="preserve">SATs contribute to the QCE Core category of learning. </w:t>
            </w:r>
            <w:r w:rsidR="00223E07">
              <w:rPr>
                <w:rFonts w:cs="Arial"/>
                <w:sz w:val="20"/>
                <w:szCs w:val="20"/>
              </w:rPr>
              <w:t>Up to eight (8)</w:t>
            </w:r>
            <w:r>
              <w:rPr>
                <w:rFonts w:cs="Arial"/>
                <w:sz w:val="20"/>
                <w:szCs w:val="20"/>
              </w:rPr>
              <w:t xml:space="preserve"> credits for a SAT may contribute toward the QCE. These credits are awarded based on the number of competencies achieved and the number of hours completed in the workplace (on-the-job). Further information about the QCE is available at </w:t>
            </w:r>
            <w:hyperlink r:id="rId16" w:anchor="1" w:history="1">
              <w:r w:rsidRPr="005D3A6C">
                <w:rPr>
                  <w:rStyle w:val="Hyperlink"/>
                  <w:rFonts w:cs="Arial"/>
                  <w:sz w:val="20"/>
                  <w:szCs w:val="20"/>
                </w:rPr>
                <w:t>Queensland Curriculum and Assessment Authority (QCAA)</w:t>
              </w:r>
            </w:hyperlink>
            <w:r>
              <w:rPr>
                <w:rFonts w:cs="Arial"/>
                <w:sz w:val="20"/>
                <w:szCs w:val="20"/>
              </w:rPr>
              <w:t>.</w:t>
            </w:r>
          </w:p>
          <w:p w14:paraId="6E2B0441" w14:textId="171C9E47" w:rsidR="0027371F" w:rsidRDefault="0027371F" w:rsidP="0080108D">
            <w:pPr>
              <w:spacing w:before="40" w:line="240" w:lineRule="auto"/>
              <w:rPr>
                <w:rFonts w:cs="Arial"/>
                <w:sz w:val="20"/>
                <w:szCs w:val="20"/>
              </w:rPr>
            </w:pPr>
            <w:r>
              <w:rPr>
                <w:rFonts w:cs="Arial"/>
                <w:sz w:val="20"/>
                <w:szCs w:val="20"/>
              </w:rPr>
              <w:t>Students working towards a QCIA may undertake SATs and have units of competency achieved recorded in their learning account. These units of competency do not contribute to the awarding of a QCIA.</w:t>
            </w:r>
          </w:p>
        </w:tc>
      </w:tr>
      <w:tr w:rsidR="0027371F" w:rsidRPr="001C429B" w14:paraId="47704F47" w14:textId="77777777" w:rsidTr="00F4318D">
        <w:tc>
          <w:tcPr>
            <w:tcW w:w="4815" w:type="dxa"/>
          </w:tcPr>
          <w:p w14:paraId="4AF51899" w14:textId="0F212314" w:rsidR="0027371F" w:rsidRDefault="0027371F" w:rsidP="0027371F">
            <w:pPr>
              <w:spacing w:line="240" w:lineRule="auto"/>
              <w:rPr>
                <w:rFonts w:cs="Arial"/>
                <w:sz w:val="20"/>
                <w:szCs w:val="20"/>
              </w:rPr>
            </w:pPr>
            <w:r w:rsidRPr="001C429B">
              <w:rPr>
                <w:rFonts w:cs="Arial"/>
                <w:sz w:val="20"/>
                <w:szCs w:val="20"/>
              </w:rPr>
              <w:t>How many days</w:t>
            </w:r>
            <w:r>
              <w:rPr>
                <w:rFonts w:cs="Arial"/>
                <w:sz w:val="20"/>
                <w:szCs w:val="20"/>
              </w:rPr>
              <w:t xml:space="preserve"> is a student in the workplace each week when undertaking </w:t>
            </w:r>
            <w:r w:rsidRPr="001C429B">
              <w:rPr>
                <w:rFonts w:cs="Arial"/>
                <w:sz w:val="20"/>
                <w:szCs w:val="20"/>
              </w:rPr>
              <w:t>a SAT?</w:t>
            </w:r>
          </w:p>
          <w:p w14:paraId="1C9FECAB" w14:textId="77777777" w:rsidR="0027371F" w:rsidRPr="001C429B" w:rsidRDefault="0027371F" w:rsidP="0027371F">
            <w:pPr>
              <w:spacing w:before="40" w:line="240" w:lineRule="auto"/>
              <w:rPr>
                <w:rFonts w:cs="Arial"/>
                <w:sz w:val="20"/>
                <w:szCs w:val="20"/>
              </w:rPr>
            </w:pPr>
          </w:p>
        </w:tc>
        <w:tc>
          <w:tcPr>
            <w:tcW w:w="10489" w:type="dxa"/>
          </w:tcPr>
          <w:p w14:paraId="25D6F6CD" w14:textId="5CFB9599" w:rsidR="0027371F" w:rsidRDefault="0027371F" w:rsidP="0027371F">
            <w:pPr>
              <w:spacing w:before="40" w:line="240" w:lineRule="auto"/>
              <w:rPr>
                <w:rFonts w:cs="Arial"/>
                <w:sz w:val="20"/>
                <w:szCs w:val="20"/>
              </w:rPr>
            </w:pPr>
            <w:r>
              <w:rPr>
                <w:rFonts w:cs="Arial"/>
                <w:sz w:val="20"/>
                <w:szCs w:val="20"/>
              </w:rPr>
              <w:t xml:space="preserve">The number of days in employment each week is negotiated between the apprentice/trainee, school, employer and SRTO. The employment must be regular and meaningful. The minimum paid employment requirement is determined by the full-time equivalent nominal term of the qualification. As each school-based </w:t>
            </w:r>
            <w:r w:rsidR="00A25DA4">
              <w:rPr>
                <w:rFonts w:cs="Arial"/>
                <w:sz w:val="20"/>
                <w:szCs w:val="20"/>
              </w:rPr>
              <w:t xml:space="preserve">apprenticeship/ </w:t>
            </w:r>
            <w:r>
              <w:rPr>
                <w:rFonts w:cs="Arial"/>
                <w:sz w:val="20"/>
                <w:szCs w:val="20"/>
              </w:rPr>
              <w:t xml:space="preserve">traineeship has minimum paid employment requirements that are unique to the </w:t>
            </w:r>
            <w:r w:rsidR="00A25DA4">
              <w:rPr>
                <w:rFonts w:cs="Arial"/>
                <w:sz w:val="20"/>
                <w:szCs w:val="20"/>
              </w:rPr>
              <w:t>apprenticeship/</w:t>
            </w:r>
            <w:r>
              <w:rPr>
                <w:rFonts w:cs="Arial"/>
                <w:sz w:val="20"/>
                <w:szCs w:val="20"/>
              </w:rPr>
              <w:t xml:space="preserve">traineeship, the apprentice/trainee should visit </w:t>
            </w:r>
            <w:hyperlink r:id="rId17" w:history="1">
              <w:r w:rsidRPr="006D0E90">
                <w:rPr>
                  <w:rStyle w:val="Hyperlink"/>
                  <w:rFonts w:cs="Arial"/>
                  <w:sz w:val="20"/>
                  <w:szCs w:val="20"/>
                </w:rPr>
                <w:t>Queensland Training Information Service (QTIS)</w:t>
              </w:r>
            </w:hyperlink>
            <w:r>
              <w:rPr>
                <w:rFonts w:cs="Arial"/>
                <w:sz w:val="20"/>
                <w:szCs w:val="20"/>
              </w:rPr>
              <w:t xml:space="preserve"> to access the paid work requirements for their specific qualification. Some of the employment </w:t>
            </w:r>
            <w:r w:rsidR="00A25DA4">
              <w:rPr>
                <w:rFonts w:cs="Arial"/>
                <w:sz w:val="20"/>
                <w:szCs w:val="20"/>
              </w:rPr>
              <w:t xml:space="preserve">may </w:t>
            </w:r>
            <w:r>
              <w:rPr>
                <w:rFonts w:cs="Arial"/>
                <w:sz w:val="20"/>
                <w:szCs w:val="20"/>
              </w:rPr>
              <w:t xml:space="preserve">take place during school hours. However, if the minimum requirement cannot be met during the school week, the apprentice/trainee may work some hours during week-ends or across school holidays. </w:t>
            </w:r>
          </w:p>
          <w:p w14:paraId="1582B9BC" w14:textId="5F3920B7" w:rsidR="0027371F" w:rsidRDefault="0027371F" w:rsidP="0027371F">
            <w:pPr>
              <w:spacing w:before="40" w:line="240" w:lineRule="auto"/>
              <w:rPr>
                <w:rFonts w:cs="Arial"/>
                <w:sz w:val="20"/>
                <w:szCs w:val="20"/>
              </w:rPr>
            </w:pPr>
            <w:r w:rsidRPr="00323D72">
              <w:rPr>
                <w:rFonts w:cs="Arial"/>
                <w:sz w:val="20"/>
                <w:szCs w:val="20"/>
              </w:rPr>
              <w:t>The training contract negotiated between the student, parent/carer, employer, SRTO and school will outline the training and work schedule for the student completing a SAT. The training contract for a SAT must impact on a student’s timetable.</w:t>
            </w:r>
            <w:r w:rsidR="00057927">
              <w:rPr>
                <w:rFonts w:cs="Arial"/>
                <w:sz w:val="20"/>
                <w:szCs w:val="20"/>
              </w:rPr>
              <w:t xml:space="preserve"> Examples of this </w:t>
            </w:r>
            <w:r w:rsidR="003D4642">
              <w:rPr>
                <w:rFonts w:cs="Arial"/>
                <w:sz w:val="20"/>
                <w:szCs w:val="20"/>
              </w:rPr>
              <w:t>could</w:t>
            </w:r>
            <w:r w:rsidR="00057927">
              <w:rPr>
                <w:rFonts w:cs="Arial"/>
                <w:sz w:val="20"/>
                <w:szCs w:val="20"/>
              </w:rPr>
              <w:t xml:space="preserve"> include:</w:t>
            </w:r>
          </w:p>
          <w:p w14:paraId="20E2630E" w14:textId="77777777" w:rsidR="00057927" w:rsidRDefault="00057927" w:rsidP="00057927">
            <w:pPr>
              <w:pStyle w:val="ListParagraph"/>
              <w:numPr>
                <w:ilvl w:val="0"/>
                <w:numId w:val="14"/>
              </w:numPr>
              <w:spacing w:before="40" w:line="240" w:lineRule="auto"/>
              <w:rPr>
                <w:rFonts w:cs="Arial"/>
                <w:sz w:val="20"/>
                <w:szCs w:val="20"/>
              </w:rPr>
            </w:pPr>
            <w:r>
              <w:rPr>
                <w:rFonts w:cs="Arial"/>
                <w:sz w:val="20"/>
                <w:szCs w:val="20"/>
              </w:rPr>
              <w:t>employment undertaken during normal school hours; and/or</w:t>
            </w:r>
          </w:p>
          <w:p w14:paraId="27FED77F" w14:textId="77777777" w:rsidR="00057927" w:rsidRDefault="00057927" w:rsidP="00057927">
            <w:pPr>
              <w:pStyle w:val="ListParagraph"/>
              <w:numPr>
                <w:ilvl w:val="0"/>
                <w:numId w:val="14"/>
              </w:numPr>
              <w:spacing w:before="40" w:line="240" w:lineRule="auto"/>
              <w:rPr>
                <w:rFonts w:cs="Arial"/>
                <w:sz w:val="20"/>
                <w:szCs w:val="20"/>
              </w:rPr>
            </w:pPr>
            <w:r>
              <w:rPr>
                <w:rFonts w:cs="Arial"/>
                <w:sz w:val="20"/>
                <w:szCs w:val="20"/>
              </w:rPr>
              <w:t>training undertaken during normal school hours; and/or</w:t>
            </w:r>
          </w:p>
          <w:p w14:paraId="3E471152" w14:textId="769DDA95" w:rsidR="00057927" w:rsidRDefault="00057927" w:rsidP="00057927">
            <w:pPr>
              <w:spacing w:before="40" w:line="240" w:lineRule="auto"/>
              <w:rPr>
                <w:rFonts w:cs="Arial"/>
                <w:sz w:val="20"/>
                <w:szCs w:val="20"/>
              </w:rPr>
            </w:pPr>
            <w:r>
              <w:rPr>
                <w:rFonts w:cs="Arial"/>
                <w:sz w:val="20"/>
                <w:szCs w:val="20"/>
              </w:rPr>
              <w:t>a reduction in the number of subjects studied to allow the student to work and/or train.</w:t>
            </w:r>
          </w:p>
        </w:tc>
      </w:tr>
      <w:tr w:rsidR="0027371F" w:rsidRPr="001C429B" w14:paraId="5F5398E3" w14:textId="77777777" w:rsidTr="00F4318D">
        <w:tc>
          <w:tcPr>
            <w:tcW w:w="4815" w:type="dxa"/>
          </w:tcPr>
          <w:p w14:paraId="19EC6688" w14:textId="52882911" w:rsidR="0027371F" w:rsidRPr="001C429B" w:rsidRDefault="0027371F" w:rsidP="0027371F">
            <w:pPr>
              <w:spacing w:before="40" w:line="240" w:lineRule="auto"/>
              <w:rPr>
                <w:rFonts w:cs="Arial"/>
                <w:sz w:val="20"/>
                <w:szCs w:val="20"/>
              </w:rPr>
            </w:pPr>
            <w:r w:rsidRPr="001C429B">
              <w:rPr>
                <w:rFonts w:cs="Arial"/>
                <w:sz w:val="20"/>
                <w:szCs w:val="20"/>
              </w:rPr>
              <w:t>What happen</w:t>
            </w:r>
            <w:r>
              <w:rPr>
                <w:rFonts w:cs="Arial"/>
                <w:sz w:val="20"/>
                <w:szCs w:val="20"/>
              </w:rPr>
              <w:t>s if a student</w:t>
            </w:r>
            <w:r w:rsidRPr="001C429B">
              <w:rPr>
                <w:rFonts w:cs="Arial"/>
                <w:sz w:val="20"/>
                <w:szCs w:val="20"/>
              </w:rPr>
              <w:t xml:space="preserve"> change</w:t>
            </w:r>
            <w:r>
              <w:rPr>
                <w:rFonts w:cs="Arial"/>
                <w:sz w:val="20"/>
                <w:szCs w:val="20"/>
              </w:rPr>
              <w:t>s schools during a</w:t>
            </w:r>
            <w:r w:rsidRPr="001C429B">
              <w:rPr>
                <w:rFonts w:cs="Arial"/>
                <w:sz w:val="20"/>
                <w:szCs w:val="20"/>
              </w:rPr>
              <w:t xml:space="preserve"> SAT?</w:t>
            </w:r>
          </w:p>
        </w:tc>
        <w:tc>
          <w:tcPr>
            <w:tcW w:w="10489" w:type="dxa"/>
          </w:tcPr>
          <w:p w14:paraId="1D263F35" w14:textId="5A795E80" w:rsidR="0027371F" w:rsidRDefault="0027371F" w:rsidP="0027371F">
            <w:pPr>
              <w:spacing w:before="40" w:line="240" w:lineRule="auto"/>
              <w:rPr>
                <w:rFonts w:cs="Arial"/>
                <w:sz w:val="20"/>
                <w:szCs w:val="20"/>
              </w:rPr>
            </w:pPr>
            <w:r>
              <w:rPr>
                <w:rFonts w:cs="Arial"/>
                <w:sz w:val="20"/>
                <w:szCs w:val="20"/>
              </w:rPr>
              <w:t xml:space="preserve">The SAT may continue as long as the new school agrees to the continuation of the school-based apprenticeship or traineeship. The schedule of school studies, training and employment will need to be re-negotiated between the school, apprentice/trainee, parent/carer, employer and SRTO. </w:t>
            </w:r>
          </w:p>
        </w:tc>
      </w:tr>
      <w:tr w:rsidR="0027371F" w:rsidRPr="001C429B" w14:paraId="78729768" w14:textId="77777777" w:rsidTr="00F4318D">
        <w:tc>
          <w:tcPr>
            <w:tcW w:w="4815" w:type="dxa"/>
          </w:tcPr>
          <w:p w14:paraId="120C927B" w14:textId="228A8EDF" w:rsidR="0027371F" w:rsidRPr="001C429B" w:rsidRDefault="0027371F" w:rsidP="0027371F">
            <w:pPr>
              <w:spacing w:before="40" w:line="240" w:lineRule="auto"/>
              <w:rPr>
                <w:rFonts w:cs="Arial"/>
                <w:sz w:val="20"/>
                <w:szCs w:val="20"/>
              </w:rPr>
            </w:pPr>
            <w:r w:rsidRPr="001C429B">
              <w:rPr>
                <w:rFonts w:cs="Arial"/>
                <w:sz w:val="20"/>
                <w:szCs w:val="20"/>
              </w:rPr>
              <w:lastRenderedPageBreak/>
              <w:t>Is i</w:t>
            </w:r>
            <w:r>
              <w:rPr>
                <w:rFonts w:cs="Arial"/>
                <w:sz w:val="20"/>
                <w:szCs w:val="20"/>
              </w:rPr>
              <w:t>t possible to make changes to the SAT</w:t>
            </w:r>
            <w:r w:rsidRPr="001C429B">
              <w:rPr>
                <w:rFonts w:cs="Arial"/>
                <w:sz w:val="20"/>
                <w:szCs w:val="20"/>
              </w:rPr>
              <w:t xml:space="preserve"> schedule of school studies, employment and training?</w:t>
            </w:r>
          </w:p>
        </w:tc>
        <w:tc>
          <w:tcPr>
            <w:tcW w:w="10489" w:type="dxa"/>
          </w:tcPr>
          <w:p w14:paraId="075C3BE6" w14:textId="4FE23E01" w:rsidR="0027371F" w:rsidRDefault="0027371F" w:rsidP="0027371F">
            <w:pPr>
              <w:spacing w:before="40" w:line="240" w:lineRule="auto"/>
              <w:rPr>
                <w:rFonts w:cs="Arial"/>
                <w:sz w:val="20"/>
                <w:szCs w:val="20"/>
              </w:rPr>
            </w:pPr>
            <w:r>
              <w:rPr>
                <w:rFonts w:cs="Arial"/>
                <w:sz w:val="20"/>
                <w:szCs w:val="20"/>
              </w:rPr>
              <w:t xml:space="preserve">Yes. Circumstances may arise during the course of a SAT which would require negotiation of an amendment to the schedule. </w:t>
            </w:r>
            <w:hyperlink r:id="rId18" w:history="1">
              <w:r w:rsidRPr="001B60A6">
                <w:rPr>
                  <w:rStyle w:val="Hyperlink"/>
                  <w:rFonts w:cs="Arial"/>
                  <w:sz w:val="20"/>
                  <w:szCs w:val="20"/>
                </w:rPr>
                <w:t>Amendments</w:t>
              </w:r>
            </w:hyperlink>
            <w:r>
              <w:rPr>
                <w:rFonts w:cs="Arial"/>
                <w:sz w:val="20"/>
                <w:szCs w:val="20"/>
              </w:rPr>
              <w:t xml:space="preserve"> may include the apprentice/trainee changing schools or changes to working hours or the institutional training timetable.</w:t>
            </w:r>
          </w:p>
        </w:tc>
      </w:tr>
      <w:tr w:rsidR="0027371F" w:rsidRPr="001C429B" w14:paraId="5902C54C" w14:textId="77777777" w:rsidTr="00F4318D">
        <w:tc>
          <w:tcPr>
            <w:tcW w:w="4815" w:type="dxa"/>
          </w:tcPr>
          <w:p w14:paraId="05D30DF2" w14:textId="31461C5D" w:rsidR="0027371F" w:rsidRPr="00C659C0" w:rsidRDefault="0027371F" w:rsidP="0027371F">
            <w:pPr>
              <w:spacing w:before="40" w:line="240" w:lineRule="auto"/>
              <w:rPr>
                <w:rFonts w:cs="Arial"/>
                <w:sz w:val="20"/>
                <w:szCs w:val="20"/>
              </w:rPr>
            </w:pPr>
            <w:r w:rsidRPr="00C659C0">
              <w:rPr>
                <w:rFonts w:cs="Arial"/>
                <w:sz w:val="20"/>
                <w:szCs w:val="20"/>
              </w:rPr>
              <w:t xml:space="preserve">Is financial support available for students who have additional </w:t>
            </w:r>
            <w:r>
              <w:rPr>
                <w:rFonts w:cs="Arial"/>
                <w:sz w:val="20"/>
                <w:szCs w:val="20"/>
              </w:rPr>
              <w:t>needs</w:t>
            </w:r>
            <w:r w:rsidRPr="00C659C0">
              <w:rPr>
                <w:rFonts w:cs="Arial"/>
                <w:sz w:val="20"/>
                <w:szCs w:val="20"/>
              </w:rPr>
              <w:t>?</w:t>
            </w:r>
          </w:p>
        </w:tc>
        <w:tc>
          <w:tcPr>
            <w:tcW w:w="10489" w:type="dxa"/>
          </w:tcPr>
          <w:p w14:paraId="0CCABEB4" w14:textId="17C5EA7A" w:rsidR="0027371F" w:rsidRPr="00C659C0" w:rsidRDefault="0027371F" w:rsidP="0027371F">
            <w:pPr>
              <w:spacing w:before="40" w:line="240" w:lineRule="auto"/>
              <w:rPr>
                <w:rFonts w:cs="Arial"/>
                <w:sz w:val="20"/>
                <w:szCs w:val="20"/>
              </w:rPr>
            </w:pPr>
            <w:r w:rsidRPr="00C659C0">
              <w:rPr>
                <w:rFonts w:cs="Arial"/>
                <w:sz w:val="20"/>
                <w:szCs w:val="20"/>
              </w:rPr>
              <w:t xml:space="preserve">Yes. Tutorial assistance for language, literacy and numeracy support is available to support </w:t>
            </w:r>
            <w:r w:rsidR="00D97C61">
              <w:rPr>
                <w:rFonts w:cs="Arial"/>
                <w:sz w:val="20"/>
                <w:szCs w:val="20"/>
              </w:rPr>
              <w:t xml:space="preserve">culturally and linguistically diverse </w:t>
            </w:r>
            <w:r w:rsidRPr="00C659C0">
              <w:rPr>
                <w:rFonts w:cs="Arial"/>
                <w:sz w:val="20"/>
                <w:szCs w:val="20"/>
              </w:rPr>
              <w:t>students</w:t>
            </w:r>
            <w:r w:rsidR="00D97C61">
              <w:rPr>
                <w:rFonts w:cs="Arial"/>
                <w:sz w:val="20"/>
                <w:szCs w:val="20"/>
              </w:rPr>
              <w:t xml:space="preserve"> and students</w:t>
            </w:r>
            <w:r w:rsidRPr="00C659C0">
              <w:rPr>
                <w:rFonts w:cs="Arial"/>
                <w:sz w:val="20"/>
                <w:szCs w:val="20"/>
              </w:rPr>
              <w:t xml:space="preserve"> with additional needs. Schools apply for this financial support on behalf of the student and in consultation with the student, parent/carer (if under 18 years of age), SRTO and employer. Information and guidelines about accessing financial support is available in </w:t>
            </w:r>
            <w:hyperlink r:id="rId19" w:history="1">
              <w:r w:rsidRPr="00244C3A">
                <w:rPr>
                  <w:rStyle w:val="Hyperlink"/>
                  <w:rFonts w:cs="Arial"/>
                  <w:sz w:val="20"/>
                  <w:szCs w:val="20"/>
                </w:rPr>
                <w:t>Tutorial assistance information for state school-based apprentices and trainees with additional needs</w:t>
              </w:r>
            </w:hyperlink>
            <w:r w:rsidRPr="00C659C0">
              <w:rPr>
                <w:rFonts w:cs="Arial"/>
                <w:sz w:val="20"/>
                <w:szCs w:val="20"/>
              </w:rPr>
              <w:t>.</w:t>
            </w:r>
          </w:p>
        </w:tc>
      </w:tr>
      <w:tr w:rsidR="00D97C61" w:rsidRPr="001C429B" w14:paraId="5EDAE509" w14:textId="77777777" w:rsidTr="00F4318D">
        <w:tc>
          <w:tcPr>
            <w:tcW w:w="4815" w:type="dxa"/>
          </w:tcPr>
          <w:p w14:paraId="186E2EE8" w14:textId="4697B402" w:rsidR="00D97C61" w:rsidRPr="00C659C0" w:rsidRDefault="00D97C61" w:rsidP="0027371F">
            <w:pPr>
              <w:spacing w:before="40" w:line="240" w:lineRule="auto"/>
              <w:rPr>
                <w:rFonts w:cs="Arial"/>
                <w:sz w:val="20"/>
                <w:szCs w:val="20"/>
              </w:rPr>
            </w:pPr>
            <w:r>
              <w:rPr>
                <w:rFonts w:cs="Arial"/>
                <w:sz w:val="20"/>
                <w:szCs w:val="20"/>
              </w:rPr>
              <w:t>Are students with disability supported to access and participate in SATs?</w:t>
            </w:r>
          </w:p>
        </w:tc>
        <w:tc>
          <w:tcPr>
            <w:tcW w:w="10489" w:type="dxa"/>
          </w:tcPr>
          <w:p w14:paraId="4E6E1C58" w14:textId="265BB773" w:rsidR="00D97C61" w:rsidRPr="00C659C0" w:rsidRDefault="00D97C61" w:rsidP="00D97C61">
            <w:pPr>
              <w:spacing w:before="40" w:line="240" w:lineRule="auto"/>
              <w:rPr>
                <w:rFonts w:cs="Arial"/>
                <w:sz w:val="20"/>
                <w:szCs w:val="20"/>
              </w:rPr>
            </w:pPr>
            <w:r>
              <w:rPr>
                <w:rFonts w:cs="Arial"/>
                <w:sz w:val="20"/>
                <w:szCs w:val="20"/>
              </w:rPr>
              <w:t xml:space="preserve">Yes. Prior to the registration of the SAT, the student, parent (if under 18 years of age), school, employer, and SRTO discuss the reasonable adjustments required by the student with disability to access and </w:t>
            </w:r>
            <w:r w:rsidRPr="00C659C0">
              <w:rPr>
                <w:rFonts w:cs="Arial"/>
                <w:sz w:val="20"/>
                <w:szCs w:val="20"/>
              </w:rPr>
              <w:t>participate in a SAT on the same basis as a student without disability</w:t>
            </w:r>
            <w:r>
              <w:rPr>
                <w:rFonts w:cs="Arial"/>
                <w:sz w:val="20"/>
                <w:szCs w:val="20"/>
              </w:rPr>
              <w:t>. T</w:t>
            </w:r>
            <w:r w:rsidRPr="00C659C0">
              <w:rPr>
                <w:rFonts w:cs="Arial"/>
                <w:sz w:val="20"/>
                <w:szCs w:val="20"/>
              </w:rPr>
              <w:t>he SRTO and employer have a responsibility to make</w:t>
            </w:r>
            <w:r>
              <w:rPr>
                <w:rFonts w:cs="Arial"/>
                <w:sz w:val="20"/>
                <w:szCs w:val="20"/>
              </w:rPr>
              <w:t xml:space="preserve"> the required</w:t>
            </w:r>
            <w:r w:rsidRPr="00C659C0">
              <w:rPr>
                <w:rFonts w:cs="Arial"/>
                <w:sz w:val="20"/>
                <w:szCs w:val="20"/>
              </w:rPr>
              <w:t xml:space="preserve"> reasonable adjustments </w:t>
            </w:r>
            <w:r w:rsidRPr="00D97C61">
              <w:rPr>
                <w:rFonts w:cs="Arial"/>
                <w:sz w:val="20"/>
                <w:szCs w:val="20"/>
              </w:rPr>
              <w:t>to maximise the student’s opportunities to successfully engage in their training</w:t>
            </w:r>
            <w:r>
              <w:rPr>
                <w:rFonts w:cs="Arial"/>
                <w:sz w:val="20"/>
                <w:szCs w:val="20"/>
              </w:rPr>
              <w:t>.</w:t>
            </w:r>
          </w:p>
          <w:p w14:paraId="560A292F" w14:textId="71422C5D" w:rsidR="00D97C61" w:rsidRPr="00C659C0" w:rsidRDefault="00D97C61" w:rsidP="00D97C61">
            <w:pPr>
              <w:spacing w:before="40" w:line="240" w:lineRule="auto"/>
              <w:rPr>
                <w:rFonts w:cs="Arial"/>
                <w:sz w:val="20"/>
                <w:szCs w:val="20"/>
              </w:rPr>
            </w:pPr>
            <w:r w:rsidRPr="00C659C0">
              <w:rPr>
                <w:rFonts w:cs="Arial"/>
                <w:sz w:val="20"/>
                <w:szCs w:val="20"/>
              </w:rPr>
              <w:t xml:space="preserve">The Australian Government’s </w:t>
            </w:r>
            <w:hyperlink r:id="rId20" w:history="1">
              <w:r w:rsidRPr="00C659C0">
                <w:rPr>
                  <w:rStyle w:val="Hyperlink"/>
                  <w:rFonts w:cs="Arial"/>
                  <w:sz w:val="20"/>
                  <w:szCs w:val="20"/>
                </w:rPr>
                <w:t>Disabled Australian Apprentice Wage Support Program</w:t>
              </w:r>
            </w:hyperlink>
            <w:r w:rsidRPr="00C659C0">
              <w:rPr>
                <w:rFonts w:cs="Arial"/>
                <w:sz w:val="20"/>
                <w:szCs w:val="20"/>
              </w:rPr>
              <w:t xml:space="preserve"> provides funding to employers who employ an eligible Australian apprentice with a disability.</w:t>
            </w:r>
          </w:p>
        </w:tc>
      </w:tr>
      <w:tr w:rsidR="0027371F" w:rsidRPr="001C429B" w14:paraId="211650C2" w14:textId="77777777" w:rsidTr="00F4318D">
        <w:tc>
          <w:tcPr>
            <w:tcW w:w="4815" w:type="dxa"/>
          </w:tcPr>
          <w:p w14:paraId="579E0931" w14:textId="3BA6F21B" w:rsidR="0027371F" w:rsidRPr="001C429B" w:rsidRDefault="0027371F" w:rsidP="0027371F">
            <w:pPr>
              <w:spacing w:before="40" w:line="240" w:lineRule="auto"/>
              <w:rPr>
                <w:rFonts w:cs="Arial"/>
                <w:sz w:val="20"/>
                <w:szCs w:val="20"/>
              </w:rPr>
            </w:pPr>
            <w:r w:rsidRPr="001C429B">
              <w:rPr>
                <w:rFonts w:cs="Arial"/>
                <w:sz w:val="20"/>
                <w:szCs w:val="20"/>
              </w:rPr>
              <w:t xml:space="preserve">Is it possible to finish a </w:t>
            </w:r>
            <w:r>
              <w:rPr>
                <w:rFonts w:cs="Arial"/>
                <w:sz w:val="20"/>
                <w:szCs w:val="20"/>
              </w:rPr>
              <w:t>SAT</w:t>
            </w:r>
            <w:r w:rsidRPr="001C429B">
              <w:rPr>
                <w:rFonts w:cs="Arial"/>
                <w:sz w:val="20"/>
                <w:szCs w:val="20"/>
              </w:rPr>
              <w:t xml:space="preserve"> before the end of Year 12?</w:t>
            </w:r>
          </w:p>
        </w:tc>
        <w:tc>
          <w:tcPr>
            <w:tcW w:w="10489" w:type="dxa"/>
          </w:tcPr>
          <w:p w14:paraId="64D3815A" w14:textId="22E3C328" w:rsidR="0027371F" w:rsidRDefault="0027371F" w:rsidP="0027371F">
            <w:pPr>
              <w:spacing w:before="40" w:line="240" w:lineRule="auto"/>
              <w:rPr>
                <w:rFonts w:cs="Arial"/>
                <w:sz w:val="20"/>
                <w:szCs w:val="20"/>
              </w:rPr>
            </w:pPr>
            <w:r>
              <w:rPr>
                <w:rFonts w:cs="Arial"/>
                <w:sz w:val="20"/>
                <w:szCs w:val="20"/>
              </w:rPr>
              <w:t xml:space="preserve">Yes, but this applies to school-based traineeships only. Most apprenticeships and traineeships take between one and four years full-time (two to eight years part-time) depending on the qualification undertaken. For a school-based apprenticeship, restrictions have been placed on the amount of institutional training the SRTO may deliver to school-based apprentices to ensure there is an appropriate amount of training commensurate to workplace experience. The </w:t>
            </w:r>
            <w:hyperlink r:id="rId21" w:history="1">
              <w:r w:rsidRPr="008B2773">
                <w:rPr>
                  <w:rStyle w:val="Hyperlink"/>
                  <w:rFonts w:cs="Arial"/>
                  <w:sz w:val="20"/>
                  <w:szCs w:val="20"/>
                </w:rPr>
                <w:t>Guide to school-based apprenticeships and traineeships</w:t>
              </w:r>
            </w:hyperlink>
            <w:r>
              <w:rPr>
                <w:rFonts w:cs="Arial"/>
                <w:sz w:val="20"/>
                <w:szCs w:val="20"/>
              </w:rPr>
              <w:t xml:space="preserve"> outlines the institutional training delivery limits for school-based apprentices.</w:t>
            </w:r>
          </w:p>
        </w:tc>
      </w:tr>
      <w:tr w:rsidR="007C3914" w:rsidRPr="001C429B" w14:paraId="13D0A3C4" w14:textId="77777777" w:rsidTr="00F4318D">
        <w:tc>
          <w:tcPr>
            <w:tcW w:w="4815" w:type="dxa"/>
          </w:tcPr>
          <w:p w14:paraId="3CEA5116" w14:textId="5FC0AD23" w:rsidR="007C3914" w:rsidRPr="001C429B" w:rsidRDefault="007C3914" w:rsidP="007C3914">
            <w:pPr>
              <w:spacing w:before="40" w:line="240" w:lineRule="auto"/>
              <w:rPr>
                <w:rFonts w:cs="Arial"/>
                <w:sz w:val="20"/>
                <w:szCs w:val="20"/>
              </w:rPr>
            </w:pPr>
            <w:r>
              <w:rPr>
                <w:rFonts w:cs="Arial"/>
                <w:sz w:val="20"/>
                <w:szCs w:val="20"/>
              </w:rPr>
              <w:t xml:space="preserve">Is it possible for a school-based apprentice to undertake additional institutional training which goes beyond the delivery limits established by DESBT?  </w:t>
            </w:r>
          </w:p>
        </w:tc>
        <w:tc>
          <w:tcPr>
            <w:tcW w:w="10489" w:type="dxa"/>
          </w:tcPr>
          <w:p w14:paraId="7EEEF1D2" w14:textId="7DBF0ACD" w:rsidR="007C3914" w:rsidRDefault="007C3914" w:rsidP="007C3914">
            <w:pPr>
              <w:spacing w:before="40" w:line="240" w:lineRule="auto"/>
              <w:rPr>
                <w:rFonts w:cs="Arial"/>
                <w:sz w:val="20"/>
                <w:szCs w:val="20"/>
              </w:rPr>
            </w:pPr>
            <w:r>
              <w:rPr>
                <w:rFonts w:cs="Arial"/>
                <w:sz w:val="20"/>
                <w:szCs w:val="20"/>
              </w:rPr>
              <w:t>Yes, but only in exceptional circumstances. DESBT recognises that situations may arise where it would be desirable for an apprentice to undertake more of their institutional training whilst under school-based arrangements.</w:t>
            </w:r>
          </w:p>
          <w:p w14:paraId="04358233" w14:textId="250E5AAD" w:rsidR="007C3914" w:rsidRDefault="007C3914" w:rsidP="007C3914">
            <w:pPr>
              <w:spacing w:before="40" w:line="240" w:lineRule="auto"/>
              <w:rPr>
                <w:rFonts w:cs="Arial"/>
                <w:sz w:val="20"/>
                <w:szCs w:val="20"/>
              </w:rPr>
            </w:pPr>
            <w:r>
              <w:rPr>
                <w:rFonts w:cs="Arial"/>
                <w:sz w:val="20"/>
                <w:szCs w:val="20"/>
              </w:rPr>
              <w:t xml:space="preserve">The Regional Director at DESBT’s local regional office may consider written applications to relax the </w:t>
            </w:r>
            <w:hyperlink r:id="rId22" w:history="1">
              <w:r w:rsidRPr="0037631A">
                <w:rPr>
                  <w:rStyle w:val="Hyperlink"/>
                  <w:rFonts w:cs="Arial"/>
                  <w:sz w:val="20"/>
                  <w:szCs w:val="20"/>
                </w:rPr>
                <w:t>institutional training delivery limit</w:t>
              </w:r>
            </w:hyperlink>
            <w:r>
              <w:rPr>
                <w:rFonts w:cs="Arial"/>
                <w:sz w:val="20"/>
                <w:szCs w:val="20"/>
              </w:rPr>
              <w:t xml:space="preserve"> for individual school-based apprentices on a case-by-case basis. </w:t>
            </w:r>
          </w:p>
        </w:tc>
      </w:tr>
      <w:tr w:rsidR="007D6313" w:rsidRPr="001C429B" w14:paraId="2DFB110E" w14:textId="77777777" w:rsidTr="00F4318D">
        <w:tc>
          <w:tcPr>
            <w:tcW w:w="4815" w:type="dxa"/>
          </w:tcPr>
          <w:p w14:paraId="06C89592" w14:textId="2F11AB82" w:rsidR="007D6313" w:rsidRPr="001C429B" w:rsidRDefault="007D6313" w:rsidP="0027371F">
            <w:pPr>
              <w:spacing w:before="40" w:line="240" w:lineRule="auto"/>
              <w:rPr>
                <w:rFonts w:cs="Arial"/>
                <w:sz w:val="20"/>
                <w:szCs w:val="20"/>
              </w:rPr>
            </w:pPr>
            <w:r>
              <w:rPr>
                <w:rFonts w:cs="Arial"/>
                <w:sz w:val="20"/>
                <w:szCs w:val="20"/>
              </w:rPr>
              <w:t>Is it possible for a trainee to finish a SAT if they haven’t undertaken the minimum employment hours required?</w:t>
            </w:r>
          </w:p>
        </w:tc>
        <w:tc>
          <w:tcPr>
            <w:tcW w:w="10489" w:type="dxa"/>
          </w:tcPr>
          <w:p w14:paraId="13577FBE" w14:textId="32B97098" w:rsidR="00A017CC" w:rsidRDefault="00AD724E" w:rsidP="0027371F">
            <w:pPr>
              <w:spacing w:before="40" w:line="240" w:lineRule="auto"/>
              <w:rPr>
                <w:rFonts w:cs="Arial"/>
                <w:sz w:val="20"/>
                <w:szCs w:val="20"/>
              </w:rPr>
            </w:pPr>
            <w:r>
              <w:rPr>
                <w:rFonts w:cs="Arial"/>
                <w:sz w:val="20"/>
                <w:szCs w:val="20"/>
              </w:rPr>
              <w:t xml:space="preserve">Yes, but only in exceptional circumstances. </w:t>
            </w:r>
            <w:r w:rsidR="00A017CC">
              <w:rPr>
                <w:rFonts w:cs="Arial"/>
                <w:sz w:val="20"/>
                <w:szCs w:val="20"/>
              </w:rPr>
              <w:t xml:space="preserve">DESBT recognises that </w:t>
            </w:r>
            <w:r w:rsidR="00A017CC" w:rsidRPr="00AD724E">
              <w:rPr>
                <w:rFonts w:cs="Arial"/>
                <w:sz w:val="20"/>
                <w:szCs w:val="20"/>
              </w:rPr>
              <w:t xml:space="preserve">school-based trainees nearing the end of Year 12 who have finished their off-the-job (institutional) training, may determine they are unlikely to meet the </w:t>
            </w:r>
            <w:hyperlink r:id="rId23" w:history="1">
              <w:r w:rsidR="00A017CC" w:rsidRPr="003939F3">
                <w:rPr>
                  <w:rStyle w:val="Hyperlink"/>
                  <w:rFonts w:cs="Arial"/>
                  <w:sz w:val="20"/>
                  <w:szCs w:val="20"/>
                </w:rPr>
                <w:t>minimum paid employment requirement</w:t>
              </w:r>
            </w:hyperlink>
            <w:r w:rsidR="00A017CC" w:rsidRPr="00AD724E">
              <w:rPr>
                <w:rFonts w:cs="Arial"/>
                <w:sz w:val="20"/>
                <w:szCs w:val="20"/>
              </w:rPr>
              <w:t xml:space="preserve"> to complete their traineeship</w:t>
            </w:r>
            <w:r w:rsidR="00A017CC">
              <w:rPr>
                <w:rFonts w:cs="Arial"/>
                <w:sz w:val="20"/>
                <w:szCs w:val="20"/>
              </w:rPr>
              <w:t>, due to circumstances beyond their control.</w:t>
            </w:r>
          </w:p>
          <w:p w14:paraId="48D9BA90" w14:textId="77777777" w:rsidR="00AD724E" w:rsidRDefault="00AD724E" w:rsidP="0027371F">
            <w:pPr>
              <w:spacing w:before="40" w:line="240" w:lineRule="auto"/>
              <w:rPr>
                <w:rFonts w:cs="Arial"/>
                <w:sz w:val="20"/>
                <w:szCs w:val="20"/>
              </w:rPr>
            </w:pPr>
          </w:p>
          <w:p w14:paraId="581EBB0F" w14:textId="0F215794" w:rsidR="00AD724E" w:rsidRDefault="00AD724E" w:rsidP="0027371F">
            <w:pPr>
              <w:spacing w:before="40" w:line="240" w:lineRule="auto"/>
              <w:rPr>
                <w:rFonts w:cs="Arial"/>
                <w:sz w:val="20"/>
                <w:szCs w:val="20"/>
              </w:rPr>
            </w:pPr>
            <w:r w:rsidRPr="00AD724E">
              <w:rPr>
                <w:rFonts w:cs="Arial"/>
                <w:sz w:val="20"/>
                <w:szCs w:val="20"/>
              </w:rPr>
              <w:t xml:space="preserve">The school-based trainee with the support of the parent (if applicable and appropriate) can submit a business case to the Queensland Training Ombudsman via the </w:t>
            </w:r>
            <w:hyperlink r:id="rId24" w:history="1">
              <w:r w:rsidRPr="003939F3">
                <w:rPr>
                  <w:rStyle w:val="Hyperlink"/>
                  <w:rFonts w:cs="Arial"/>
                  <w:sz w:val="20"/>
                  <w:szCs w:val="20"/>
                </w:rPr>
                <w:t>online complaint form</w:t>
              </w:r>
            </w:hyperlink>
            <w:r w:rsidRPr="00AD724E">
              <w:rPr>
                <w:rFonts w:cs="Arial"/>
                <w:sz w:val="20"/>
                <w:szCs w:val="20"/>
              </w:rPr>
              <w:t xml:space="preserve"> for independent consideration of their case. The Queensland Training Ombudsman will review the case and make a recommendation to DESBT.</w:t>
            </w:r>
          </w:p>
        </w:tc>
      </w:tr>
      <w:tr w:rsidR="0027371F" w:rsidRPr="001C429B" w14:paraId="14852A7A" w14:textId="77777777" w:rsidTr="00F4318D">
        <w:tc>
          <w:tcPr>
            <w:tcW w:w="4815" w:type="dxa"/>
          </w:tcPr>
          <w:p w14:paraId="28E90580" w14:textId="3694352F" w:rsidR="0027371F" w:rsidRPr="001C429B" w:rsidRDefault="0027371F" w:rsidP="0027371F">
            <w:pPr>
              <w:spacing w:before="40" w:line="240" w:lineRule="auto"/>
              <w:rPr>
                <w:rFonts w:cs="Arial"/>
                <w:sz w:val="20"/>
                <w:szCs w:val="20"/>
              </w:rPr>
            </w:pPr>
            <w:r w:rsidRPr="001C429B">
              <w:rPr>
                <w:rFonts w:cs="Arial"/>
                <w:sz w:val="20"/>
                <w:szCs w:val="20"/>
              </w:rPr>
              <w:lastRenderedPageBreak/>
              <w:t xml:space="preserve">What happens </w:t>
            </w:r>
            <w:r>
              <w:rPr>
                <w:rFonts w:cs="Arial"/>
                <w:sz w:val="20"/>
                <w:szCs w:val="20"/>
              </w:rPr>
              <w:t xml:space="preserve">to the apprentice or trainee </w:t>
            </w:r>
            <w:r w:rsidRPr="001C429B">
              <w:rPr>
                <w:rFonts w:cs="Arial"/>
                <w:sz w:val="20"/>
                <w:szCs w:val="20"/>
              </w:rPr>
              <w:t xml:space="preserve">at the end of Year 12 </w:t>
            </w:r>
            <w:r>
              <w:rPr>
                <w:rFonts w:cs="Arial"/>
                <w:sz w:val="20"/>
                <w:szCs w:val="20"/>
              </w:rPr>
              <w:t>if the SAT has not been completed</w:t>
            </w:r>
            <w:r w:rsidRPr="001C429B">
              <w:rPr>
                <w:rFonts w:cs="Arial"/>
                <w:sz w:val="20"/>
                <w:szCs w:val="20"/>
              </w:rPr>
              <w:t>?</w:t>
            </w:r>
          </w:p>
        </w:tc>
        <w:tc>
          <w:tcPr>
            <w:tcW w:w="10489" w:type="dxa"/>
          </w:tcPr>
          <w:p w14:paraId="629E2CCB" w14:textId="0D2992E0" w:rsidR="0027371F" w:rsidRDefault="0027371F" w:rsidP="0027371F">
            <w:pPr>
              <w:spacing w:before="40" w:line="240" w:lineRule="auto"/>
              <w:rPr>
                <w:rFonts w:cs="Arial"/>
                <w:sz w:val="20"/>
                <w:szCs w:val="20"/>
              </w:rPr>
            </w:pPr>
            <w:r>
              <w:rPr>
                <w:rFonts w:cs="Arial"/>
                <w:sz w:val="20"/>
                <w:szCs w:val="20"/>
              </w:rPr>
              <w:t xml:space="preserve">DESBT will facilitate conversion of school-based training contracts for Year 12 school-leavers to full-time arrangements as SATs cannot continue under school-based arrangements once a student leaves school. </w:t>
            </w:r>
          </w:p>
          <w:p w14:paraId="0E84B7A0" w14:textId="0EF44124" w:rsidR="0027371F" w:rsidRDefault="0027371F" w:rsidP="0027371F">
            <w:pPr>
              <w:spacing w:before="40" w:line="240" w:lineRule="auto"/>
              <w:rPr>
                <w:rFonts w:cs="Arial"/>
                <w:sz w:val="20"/>
                <w:szCs w:val="20"/>
              </w:rPr>
            </w:pPr>
            <w:r>
              <w:rPr>
                <w:rFonts w:cs="Arial"/>
                <w:sz w:val="20"/>
                <w:szCs w:val="20"/>
              </w:rPr>
              <w:t xml:space="preserve">If the apprentice/trainee requests part-time arrangements rather than full-time, an </w:t>
            </w:r>
            <w:hyperlink r:id="rId25" w:history="1">
              <w:r w:rsidRPr="001B60A6">
                <w:rPr>
                  <w:rStyle w:val="Hyperlink"/>
                  <w:rFonts w:cs="Arial"/>
                  <w:sz w:val="20"/>
                  <w:szCs w:val="20"/>
                </w:rPr>
                <w:t>application</w:t>
              </w:r>
            </w:hyperlink>
            <w:r>
              <w:rPr>
                <w:rFonts w:cs="Arial"/>
                <w:sz w:val="20"/>
                <w:szCs w:val="20"/>
              </w:rPr>
              <w:t xml:space="preserve"> must be made to</w:t>
            </w:r>
            <w:r w:rsidR="00A25DA4">
              <w:rPr>
                <w:rFonts w:cs="Arial"/>
                <w:sz w:val="20"/>
                <w:szCs w:val="20"/>
              </w:rPr>
              <w:t xml:space="preserve"> </w:t>
            </w:r>
            <w:r>
              <w:rPr>
                <w:rFonts w:cs="Arial"/>
                <w:sz w:val="20"/>
                <w:szCs w:val="20"/>
              </w:rPr>
              <w:t>DESBT or the apprentice/trainee’s AASN provider to amend the training contract.</w:t>
            </w:r>
          </w:p>
        </w:tc>
      </w:tr>
      <w:tr w:rsidR="0027371F" w:rsidRPr="001C429B" w14:paraId="7B6B23D3" w14:textId="77777777" w:rsidTr="00F4318D">
        <w:tc>
          <w:tcPr>
            <w:tcW w:w="4815" w:type="dxa"/>
          </w:tcPr>
          <w:p w14:paraId="60C9219D" w14:textId="36889C0C" w:rsidR="0027371F" w:rsidRPr="001C429B" w:rsidRDefault="0027371F" w:rsidP="0027371F">
            <w:pPr>
              <w:spacing w:before="40" w:line="240" w:lineRule="auto"/>
              <w:rPr>
                <w:rFonts w:cs="Arial"/>
                <w:sz w:val="20"/>
                <w:szCs w:val="20"/>
              </w:rPr>
            </w:pPr>
            <w:r>
              <w:rPr>
                <w:rFonts w:cs="Arial"/>
                <w:sz w:val="20"/>
                <w:szCs w:val="20"/>
              </w:rPr>
              <w:t>Is there government funding available to undertake a SAT?</w:t>
            </w:r>
          </w:p>
        </w:tc>
        <w:tc>
          <w:tcPr>
            <w:tcW w:w="10489" w:type="dxa"/>
          </w:tcPr>
          <w:p w14:paraId="1F1B752E" w14:textId="342DB60C" w:rsidR="0027371F" w:rsidRDefault="0027371F" w:rsidP="0027371F">
            <w:pPr>
              <w:spacing w:before="40" w:line="240" w:lineRule="auto"/>
              <w:rPr>
                <w:rFonts w:cs="Arial"/>
                <w:sz w:val="20"/>
                <w:szCs w:val="20"/>
              </w:rPr>
            </w:pPr>
            <w:r>
              <w:rPr>
                <w:rFonts w:cs="Arial"/>
                <w:sz w:val="20"/>
                <w:szCs w:val="20"/>
              </w:rPr>
              <w:t xml:space="preserve">Yes. However not all SATs attract government funding. The User Choice funding is aligned and prioritised to the skills needs of industry. The funding priority will determine the level of public funds contributed to the training. Visit </w:t>
            </w:r>
            <w:hyperlink r:id="rId26" w:history="1">
              <w:r w:rsidRPr="00C31F26">
                <w:rPr>
                  <w:rStyle w:val="Hyperlink"/>
                  <w:rFonts w:cs="Arial"/>
                  <w:sz w:val="20"/>
                  <w:szCs w:val="20"/>
                </w:rPr>
                <w:t>DESBT’s User Choice — Funding and pricing</w:t>
              </w:r>
            </w:hyperlink>
            <w:r>
              <w:rPr>
                <w:rFonts w:cs="Arial"/>
                <w:sz w:val="20"/>
                <w:szCs w:val="20"/>
              </w:rPr>
              <w:t xml:space="preserve"> for information about funding priorities and qualifications which attract funding.</w:t>
            </w:r>
          </w:p>
        </w:tc>
      </w:tr>
      <w:tr w:rsidR="0027371F" w:rsidRPr="001C429B" w14:paraId="41D6B655" w14:textId="77777777" w:rsidTr="00F4318D">
        <w:tc>
          <w:tcPr>
            <w:tcW w:w="4815" w:type="dxa"/>
          </w:tcPr>
          <w:p w14:paraId="584A45BE" w14:textId="402D637E" w:rsidR="0027371F" w:rsidRPr="001C429B" w:rsidRDefault="0027371F" w:rsidP="0027371F">
            <w:pPr>
              <w:spacing w:before="40" w:line="240" w:lineRule="auto"/>
              <w:rPr>
                <w:rFonts w:cs="Arial"/>
                <w:sz w:val="20"/>
                <w:szCs w:val="20"/>
              </w:rPr>
            </w:pPr>
            <w:r w:rsidRPr="001C429B">
              <w:rPr>
                <w:rFonts w:cs="Arial"/>
                <w:sz w:val="20"/>
                <w:szCs w:val="20"/>
              </w:rPr>
              <w:t>What are the implic</w:t>
            </w:r>
            <w:r>
              <w:rPr>
                <w:rFonts w:cs="Arial"/>
                <w:sz w:val="20"/>
                <w:szCs w:val="20"/>
              </w:rPr>
              <w:t>ations for future training if the</w:t>
            </w:r>
            <w:r w:rsidRPr="001C429B">
              <w:rPr>
                <w:rFonts w:cs="Arial"/>
                <w:sz w:val="20"/>
                <w:szCs w:val="20"/>
              </w:rPr>
              <w:t xml:space="preserve"> SAT is funded by User Choice funding?</w:t>
            </w:r>
          </w:p>
        </w:tc>
        <w:tc>
          <w:tcPr>
            <w:tcW w:w="10489" w:type="dxa"/>
          </w:tcPr>
          <w:p w14:paraId="34628009" w14:textId="3660770E" w:rsidR="0027371F" w:rsidRDefault="0027371F" w:rsidP="0027371F">
            <w:pPr>
              <w:spacing w:before="40" w:line="240" w:lineRule="auto"/>
              <w:rPr>
                <w:rFonts w:cs="Arial"/>
                <w:sz w:val="20"/>
                <w:szCs w:val="20"/>
              </w:rPr>
            </w:pPr>
            <w:r>
              <w:rPr>
                <w:rFonts w:cs="Arial"/>
                <w:sz w:val="20"/>
                <w:szCs w:val="20"/>
              </w:rPr>
              <w:t xml:space="preserve">Apprentices and trainees can only receive one government contribution for a User Choice funded qualification at any single point in time, i.e. a student is not funded to undertake two SATs at the same time. In addition, apprentices and trainees can only receive a maximum of two government funding contributions under the current </w:t>
            </w:r>
            <w:hyperlink r:id="rId27" w:history="1">
              <w:r w:rsidRPr="00230449">
                <w:rPr>
                  <w:rStyle w:val="Hyperlink"/>
                  <w:rFonts w:cs="Arial"/>
                  <w:sz w:val="20"/>
                  <w:szCs w:val="20"/>
                </w:rPr>
                <w:t>User Choice program</w:t>
              </w:r>
            </w:hyperlink>
            <w:r>
              <w:rPr>
                <w:rFonts w:cs="Arial"/>
                <w:sz w:val="20"/>
                <w:szCs w:val="20"/>
              </w:rPr>
              <w:t xml:space="preserve">. </w:t>
            </w:r>
          </w:p>
        </w:tc>
      </w:tr>
      <w:tr w:rsidR="007C3914" w:rsidRPr="001C429B" w14:paraId="10BFA1DC" w14:textId="77777777" w:rsidTr="00F4318D">
        <w:tc>
          <w:tcPr>
            <w:tcW w:w="4815" w:type="dxa"/>
          </w:tcPr>
          <w:p w14:paraId="587F3C02" w14:textId="645567FC" w:rsidR="007C3914" w:rsidRPr="001C429B" w:rsidRDefault="007C3914" w:rsidP="0027371F">
            <w:pPr>
              <w:spacing w:before="40" w:line="240" w:lineRule="auto"/>
              <w:rPr>
                <w:rFonts w:cs="Arial"/>
                <w:sz w:val="20"/>
                <w:szCs w:val="20"/>
              </w:rPr>
            </w:pPr>
            <w:r>
              <w:rPr>
                <w:rFonts w:cs="Arial"/>
                <w:sz w:val="20"/>
                <w:szCs w:val="20"/>
              </w:rPr>
              <w:t>How can a school-based apprentice or trainee who is accessing User Choice funding be confident they are receiving quality training?</w:t>
            </w:r>
          </w:p>
        </w:tc>
        <w:tc>
          <w:tcPr>
            <w:tcW w:w="10489" w:type="dxa"/>
          </w:tcPr>
          <w:p w14:paraId="1A89E931" w14:textId="1CC87027" w:rsidR="00D46DB8" w:rsidRDefault="00563538" w:rsidP="00AD724E">
            <w:pPr>
              <w:spacing w:before="40" w:line="240" w:lineRule="auto"/>
              <w:rPr>
                <w:rFonts w:cs="Arial"/>
                <w:sz w:val="20"/>
                <w:szCs w:val="20"/>
              </w:rPr>
            </w:pPr>
            <w:r>
              <w:rPr>
                <w:rFonts w:cs="Arial"/>
                <w:sz w:val="20"/>
                <w:szCs w:val="20"/>
              </w:rPr>
              <w:t xml:space="preserve">DESBT’s </w:t>
            </w:r>
            <w:hyperlink r:id="rId28" w:history="1">
              <w:r w:rsidRPr="00895BEC">
                <w:rPr>
                  <w:rStyle w:val="Hyperlink"/>
                  <w:rFonts w:cs="Arial"/>
                  <w:sz w:val="20"/>
                  <w:szCs w:val="20"/>
                </w:rPr>
                <w:t>User Choice</w:t>
              </w:r>
            </w:hyperlink>
            <w:r>
              <w:rPr>
                <w:rFonts w:cs="Arial"/>
                <w:sz w:val="20"/>
                <w:szCs w:val="20"/>
              </w:rPr>
              <w:t xml:space="preserve"> </w:t>
            </w:r>
            <w:r w:rsidRPr="00563538">
              <w:rPr>
                <w:rFonts w:cs="Arial"/>
                <w:sz w:val="20"/>
                <w:szCs w:val="20"/>
              </w:rPr>
              <w:t>provides public funding</w:t>
            </w:r>
            <w:r>
              <w:rPr>
                <w:rFonts w:cs="Arial"/>
                <w:sz w:val="20"/>
                <w:szCs w:val="20"/>
              </w:rPr>
              <w:t xml:space="preserve"> to pre-approved </w:t>
            </w:r>
            <w:r w:rsidR="00895BEC">
              <w:rPr>
                <w:rFonts w:cs="Arial"/>
                <w:sz w:val="20"/>
                <w:szCs w:val="20"/>
              </w:rPr>
              <w:t>RTOs</w:t>
            </w:r>
            <w:r w:rsidR="006974C4">
              <w:rPr>
                <w:rFonts w:cs="Arial"/>
                <w:sz w:val="20"/>
                <w:szCs w:val="20"/>
              </w:rPr>
              <w:t xml:space="preserve"> called Skills Assure Suppliers (SAS)</w:t>
            </w:r>
            <w:r w:rsidRPr="00563538">
              <w:rPr>
                <w:rFonts w:cs="Arial"/>
                <w:sz w:val="20"/>
                <w:szCs w:val="20"/>
              </w:rPr>
              <w:t xml:space="preserve"> for the delivery of </w:t>
            </w:r>
            <w:r>
              <w:rPr>
                <w:rFonts w:cs="Arial"/>
                <w:sz w:val="20"/>
                <w:szCs w:val="20"/>
              </w:rPr>
              <w:t xml:space="preserve">nationally recognised and </w:t>
            </w:r>
            <w:r w:rsidRPr="00563538">
              <w:rPr>
                <w:rFonts w:cs="Arial"/>
                <w:sz w:val="20"/>
                <w:szCs w:val="20"/>
              </w:rPr>
              <w:t>accredited, entry level training to apprentices and trainees.</w:t>
            </w:r>
            <w:r w:rsidR="00895BEC">
              <w:rPr>
                <w:rFonts w:cs="Arial"/>
              </w:rPr>
              <w:t xml:space="preserve"> </w:t>
            </w:r>
            <w:r w:rsidR="00D46DB8" w:rsidRPr="006974C4">
              <w:rPr>
                <w:rFonts w:cs="Arial"/>
                <w:sz w:val="20"/>
                <w:szCs w:val="20"/>
              </w:rPr>
              <w:t xml:space="preserve">RTOs must meet and adhere to </w:t>
            </w:r>
            <w:r w:rsidR="00D46DB8">
              <w:rPr>
                <w:rFonts w:cs="Arial"/>
                <w:sz w:val="20"/>
                <w:szCs w:val="20"/>
              </w:rPr>
              <w:t xml:space="preserve">documented </w:t>
            </w:r>
            <w:r w:rsidR="00D46DB8" w:rsidRPr="006974C4">
              <w:rPr>
                <w:rFonts w:cs="Arial"/>
                <w:sz w:val="20"/>
                <w:szCs w:val="20"/>
              </w:rPr>
              <w:t>performance standards to maintain SAS status for</w:t>
            </w:r>
            <w:r w:rsidR="00D46DB8">
              <w:rPr>
                <w:rFonts w:cs="Arial"/>
                <w:sz w:val="20"/>
                <w:szCs w:val="20"/>
              </w:rPr>
              <w:t xml:space="preserve"> </w:t>
            </w:r>
            <w:r w:rsidR="00D46DB8" w:rsidRPr="006974C4">
              <w:rPr>
                <w:rFonts w:cs="Arial"/>
                <w:sz w:val="20"/>
                <w:szCs w:val="20"/>
              </w:rPr>
              <w:t xml:space="preserve">programs administered by </w:t>
            </w:r>
            <w:r w:rsidR="00D46DB8">
              <w:rPr>
                <w:rFonts w:cs="Arial"/>
                <w:sz w:val="20"/>
                <w:szCs w:val="20"/>
              </w:rPr>
              <w:t>DESBT.</w:t>
            </w:r>
          </w:p>
          <w:p w14:paraId="242DEBE6" w14:textId="2DC428AE" w:rsidR="001D65BD" w:rsidRDefault="006974C4" w:rsidP="0027371F">
            <w:pPr>
              <w:spacing w:before="40" w:line="240" w:lineRule="auto"/>
              <w:rPr>
                <w:rFonts w:cs="Arial"/>
                <w:sz w:val="20"/>
                <w:szCs w:val="20"/>
              </w:rPr>
            </w:pPr>
            <w:r w:rsidRPr="00AD724E">
              <w:rPr>
                <w:rFonts w:cs="Arial"/>
                <w:sz w:val="20"/>
                <w:szCs w:val="20"/>
              </w:rPr>
              <w:t xml:space="preserve">The SAS system </w:t>
            </w:r>
            <w:r w:rsidRPr="00B833C9">
              <w:rPr>
                <w:sz w:val="20"/>
                <w:szCs w:val="20"/>
              </w:rPr>
              <w:t>is intended to provide prospective students and employers with peace of mind that providers possess the capability to deliver positive training experiences and quality skills outcomes.</w:t>
            </w:r>
          </w:p>
        </w:tc>
      </w:tr>
      <w:tr w:rsidR="0027371F" w:rsidRPr="001C429B" w14:paraId="6E272660" w14:textId="77777777" w:rsidTr="00F4318D">
        <w:tc>
          <w:tcPr>
            <w:tcW w:w="4815" w:type="dxa"/>
          </w:tcPr>
          <w:p w14:paraId="75362AFF" w14:textId="61892B34" w:rsidR="0027371F" w:rsidRPr="001C429B" w:rsidRDefault="0027371F" w:rsidP="0027371F">
            <w:pPr>
              <w:spacing w:before="40" w:line="240" w:lineRule="auto"/>
              <w:rPr>
                <w:rFonts w:cs="Arial"/>
                <w:sz w:val="20"/>
                <w:szCs w:val="20"/>
              </w:rPr>
            </w:pPr>
            <w:r w:rsidRPr="001C429B">
              <w:rPr>
                <w:rFonts w:cs="Arial"/>
                <w:sz w:val="20"/>
                <w:szCs w:val="20"/>
              </w:rPr>
              <w:t>Are there any cos</w:t>
            </w:r>
            <w:r>
              <w:rPr>
                <w:rFonts w:cs="Arial"/>
                <w:sz w:val="20"/>
                <w:szCs w:val="20"/>
              </w:rPr>
              <w:t>ts associated with a SAT if it is</w:t>
            </w:r>
            <w:r w:rsidRPr="001C429B">
              <w:rPr>
                <w:rFonts w:cs="Arial"/>
                <w:sz w:val="20"/>
                <w:szCs w:val="20"/>
              </w:rPr>
              <w:t xml:space="preserve"> not a funded qualification?</w:t>
            </w:r>
          </w:p>
        </w:tc>
        <w:tc>
          <w:tcPr>
            <w:tcW w:w="10489" w:type="dxa"/>
          </w:tcPr>
          <w:p w14:paraId="54669F49" w14:textId="4457EC3E" w:rsidR="0027371F" w:rsidRDefault="0027371F" w:rsidP="0027371F">
            <w:pPr>
              <w:spacing w:before="40" w:after="40" w:line="240" w:lineRule="auto"/>
              <w:rPr>
                <w:rFonts w:cs="Arial"/>
                <w:sz w:val="20"/>
                <w:szCs w:val="20"/>
              </w:rPr>
            </w:pPr>
            <w:r>
              <w:rPr>
                <w:rFonts w:cs="Arial"/>
                <w:sz w:val="20"/>
                <w:szCs w:val="20"/>
              </w:rPr>
              <w:t>Yes. There may be costs associated with an apprenticeship/traineeship including:</w:t>
            </w:r>
          </w:p>
          <w:p w14:paraId="7FF99346" w14:textId="35C496D4" w:rsidR="0027371F" w:rsidRDefault="0027371F" w:rsidP="0027371F">
            <w:pPr>
              <w:pStyle w:val="ListParagraph"/>
              <w:numPr>
                <w:ilvl w:val="0"/>
                <w:numId w:val="5"/>
              </w:numPr>
              <w:spacing w:before="40" w:after="40" w:line="240" w:lineRule="auto"/>
              <w:rPr>
                <w:rFonts w:cs="Arial"/>
                <w:sz w:val="20"/>
                <w:szCs w:val="20"/>
              </w:rPr>
            </w:pPr>
            <w:r>
              <w:rPr>
                <w:rFonts w:cs="Arial"/>
                <w:sz w:val="20"/>
                <w:szCs w:val="20"/>
              </w:rPr>
              <w:t>fees for attending the training organisation</w:t>
            </w:r>
          </w:p>
          <w:p w14:paraId="2493E9E1" w14:textId="51DB0B8C" w:rsidR="0027371F" w:rsidRDefault="0027371F" w:rsidP="0027371F">
            <w:pPr>
              <w:pStyle w:val="ListParagraph"/>
              <w:numPr>
                <w:ilvl w:val="0"/>
                <w:numId w:val="5"/>
              </w:numPr>
              <w:spacing w:before="40" w:after="40" w:line="240" w:lineRule="auto"/>
              <w:rPr>
                <w:rFonts w:cs="Arial"/>
                <w:sz w:val="20"/>
                <w:szCs w:val="20"/>
              </w:rPr>
            </w:pPr>
            <w:r>
              <w:rPr>
                <w:rFonts w:cs="Arial"/>
                <w:sz w:val="20"/>
                <w:szCs w:val="20"/>
              </w:rPr>
              <w:t>uniforms and equipment</w:t>
            </w:r>
          </w:p>
          <w:p w14:paraId="5980238B" w14:textId="5B56CD1A" w:rsidR="0027371F" w:rsidRDefault="0027371F" w:rsidP="0027371F">
            <w:pPr>
              <w:pStyle w:val="ListParagraph"/>
              <w:numPr>
                <w:ilvl w:val="0"/>
                <w:numId w:val="5"/>
              </w:numPr>
              <w:spacing w:before="40" w:after="40" w:line="240" w:lineRule="auto"/>
              <w:rPr>
                <w:rFonts w:cs="Arial"/>
                <w:sz w:val="20"/>
                <w:szCs w:val="20"/>
              </w:rPr>
            </w:pPr>
            <w:r>
              <w:rPr>
                <w:rFonts w:cs="Arial"/>
                <w:sz w:val="20"/>
                <w:szCs w:val="20"/>
              </w:rPr>
              <w:t>text books and other study materials</w:t>
            </w:r>
          </w:p>
          <w:p w14:paraId="6751B3DC" w14:textId="66206F89" w:rsidR="004F2796" w:rsidRDefault="0027371F" w:rsidP="0027371F">
            <w:pPr>
              <w:pStyle w:val="ListParagraph"/>
              <w:numPr>
                <w:ilvl w:val="0"/>
                <w:numId w:val="10"/>
              </w:numPr>
              <w:spacing w:before="40" w:after="40" w:line="240" w:lineRule="auto"/>
              <w:rPr>
                <w:rFonts w:cs="Arial"/>
                <w:sz w:val="20"/>
                <w:szCs w:val="20"/>
              </w:rPr>
            </w:pPr>
            <w:r w:rsidRPr="000622D8">
              <w:rPr>
                <w:rFonts w:cs="Arial"/>
                <w:sz w:val="20"/>
                <w:szCs w:val="20"/>
              </w:rPr>
              <w:t xml:space="preserve">transport costs to attend work </w:t>
            </w:r>
          </w:p>
          <w:p w14:paraId="3A1C63A3" w14:textId="1FAD2AEC" w:rsidR="0027371F" w:rsidRPr="000622D8" w:rsidRDefault="004F2796" w:rsidP="0027371F">
            <w:pPr>
              <w:pStyle w:val="ListParagraph"/>
              <w:numPr>
                <w:ilvl w:val="0"/>
                <w:numId w:val="10"/>
              </w:numPr>
              <w:spacing w:before="40" w:after="40" w:line="240" w:lineRule="auto"/>
              <w:rPr>
                <w:rFonts w:cs="Arial"/>
                <w:sz w:val="20"/>
                <w:szCs w:val="20"/>
              </w:rPr>
            </w:pPr>
            <w:r>
              <w:rPr>
                <w:rFonts w:cs="Arial"/>
                <w:sz w:val="20"/>
                <w:szCs w:val="20"/>
              </w:rPr>
              <w:t xml:space="preserve">travel and accommodation costs to attend </w:t>
            </w:r>
            <w:r w:rsidR="0027371F" w:rsidRPr="000622D8">
              <w:rPr>
                <w:rFonts w:cs="Arial"/>
                <w:sz w:val="20"/>
                <w:szCs w:val="20"/>
              </w:rPr>
              <w:t xml:space="preserve">training.  </w:t>
            </w:r>
          </w:p>
        </w:tc>
      </w:tr>
      <w:tr w:rsidR="0027371F" w:rsidRPr="001C429B" w14:paraId="6B1C2C3C" w14:textId="77777777" w:rsidTr="00F4318D">
        <w:tc>
          <w:tcPr>
            <w:tcW w:w="4815" w:type="dxa"/>
          </w:tcPr>
          <w:p w14:paraId="45E12BAD" w14:textId="27049B7F" w:rsidR="0027371F" w:rsidRPr="001C429B" w:rsidRDefault="0027371F" w:rsidP="0027371F">
            <w:pPr>
              <w:spacing w:before="40" w:line="240" w:lineRule="auto"/>
              <w:rPr>
                <w:rFonts w:cs="Arial"/>
                <w:sz w:val="20"/>
                <w:szCs w:val="20"/>
              </w:rPr>
            </w:pPr>
            <w:r>
              <w:rPr>
                <w:rFonts w:cs="Arial"/>
                <w:sz w:val="20"/>
                <w:szCs w:val="20"/>
              </w:rPr>
              <w:t>Is there any financial assistance for</w:t>
            </w:r>
            <w:r w:rsidRPr="001C429B">
              <w:rPr>
                <w:rFonts w:cs="Arial"/>
                <w:sz w:val="20"/>
                <w:szCs w:val="20"/>
              </w:rPr>
              <w:t xml:space="preserve"> travel and/or ac</w:t>
            </w:r>
            <w:r>
              <w:rPr>
                <w:rFonts w:cs="Arial"/>
                <w:sz w:val="20"/>
                <w:szCs w:val="20"/>
              </w:rPr>
              <w:t>commodation when undertaking a SAT</w:t>
            </w:r>
            <w:r w:rsidRPr="001C429B">
              <w:rPr>
                <w:rFonts w:cs="Arial"/>
                <w:sz w:val="20"/>
                <w:szCs w:val="20"/>
              </w:rPr>
              <w:t>?</w:t>
            </w:r>
          </w:p>
        </w:tc>
        <w:tc>
          <w:tcPr>
            <w:tcW w:w="10489" w:type="dxa"/>
          </w:tcPr>
          <w:p w14:paraId="6A5572A6" w14:textId="5AB0C25D" w:rsidR="0027371F" w:rsidRDefault="0027371F" w:rsidP="0027371F">
            <w:pPr>
              <w:spacing w:before="40" w:line="240" w:lineRule="auto"/>
              <w:rPr>
                <w:rFonts w:cs="Arial"/>
                <w:sz w:val="20"/>
                <w:szCs w:val="20"/>
              </w:rPr>
            </w:pPr>
            <w:r>
              <w:rPr>
                <w:rFonts w:cs="Arial"/>
                <w:sz w:val="20"/>
                <w:szCs w:val="20"/>
              </w:rPr>
              <w:t xml:space="preserve">School-based apprentices or trainees may be eligible for travel and/or accommodation financial assistance if they have to travel significant distances to attend the closest training provider who provides the course of instruction for the particular training program. Specific eligibility requirements are available in </w:t>
            </w:r>
            <w:hyperlink r:id="rId29" w:history="1">
              <w:r w:rsidRPr="00BF6A2E">
                <w:rPr>
                  <w:rStyle w:val="Hyperlink"/>
                  <w:rFonts w:cs="Arial"/>
                  <w:sz w:val="20"/>
                  <w:szCs w:val="20"/>
                </w:rPr>
                <w:t>Travel and accommodation financial assistance information</w:t>
              </w:r>
            </w:hyperlink>
            <w:r>
              <w:rPr>
                <w:rFonts w:cs="Arial"/>
                <w:sz w:val="20"/>
                <w:szCs w:val="20"/>
              </w:rPr>
              <w:t>.</w:t>
            </w:r>
          </w:p>
        </w:tc>
      </w:tr>
      <w:tr w:rsidR="0027371F" w:rsidRPr="001C429B" w14:paraId="277E5997" w14:textId="77777777" w:rsidTr="00F4318D">
        <w:tc>
          <w:tcPr>
            <w:tcW w:w="4815" w:type="dxa"/>
          </w:tcPr>
          <w:p w14:paraId="7BF59664" w14:textId="594E9EDB" w:rsidR="0027371F" w:rsidRPr="001C429B" w:rsidRDefault="0027371F" w:rsidP="0027371F">
            <w:pPr>
              <w:spacing w:before="40" w:line="240" w:lineRule="auto"/>
              <w:rPr>
                <w:rFonts w:cs="Arial"/>
                <w:sz w:val="20"/>
                <w:szCs w:val="20"/>
              </w:rPr>
            </w:pPr>
            <w:r w:rsidRPr="001C429B">
              <w:rPr>
                <w:rFonts w:cs="Arial"/>
                <w:sz w:val="20"/>
                <w:szCs w:val="20"/>
              </w:rPr>
              <w:t>What is the role of the Department of Education</w:t>
            </w:r>
            <w:r>
              <w:rPr>
                <w:rFonts w:cs="Arial"/>
                <w:sz w:val="20"/>
                <w:szCs w:val="20"/>
              </w:rPr>
              <w:t xml:space="preserve"> (DoE)</w:t>
            </w:r>
            <w:r w:rsidRPr="001C429B">
              <w:rPr>
                <w:rFonts w:cs="Arial"/>
                <w:sz w:val="20"/>
                <w:szCs w:val="20"/>
              </w:rPr>
              <w:t xml:space="preserve"> in relation to SATs?</w:t>
            </w:r>
          </w:p>
        </w:tc>
        <w:tc>
          <w:tcPr>
            <w:tcW w:w="10489" w:type="dxa"/>
          </w:tcPr>
          <w:p w14:paraId="17976EB2" w14:textId="0563BFED" w:rsidR="0027371F" w:rsidRPr="001C429B" w:rsidRDefault="0027371F" w:rsidP="0027371F">
            <w:pPr>
              <w:spacing w:before="40" w:line="240" w:lineRule="auto"/>
              <w:rPr>
                <w:rFonts w:cs="Arial"/>
                <w:sz w:val="20"/>
                <w:szCs w:val="20"/>
              </w:rPr>
            </w:pPr>
            <w:r>
              <w:rPr>
                <w:rFonts w:cs="Arial"/>
                <w:sz w:val="20"/>
                <w:szCs w:val="20"/>
              </w:rPr>
              <w:t>The DoE’s role is to support state school students by outlining processes for schools in relation to commencement, monitoring and completion of SATs. In addition, DoE processes applications and facilitates payments for travel and accommodation financial assistance for eligible students, and tutorial assistance for students with additional needs.</w:t>
            </w:r>
          </w:p>
        </w:tc>
      </w:tr>
      <w:tr w:rsidR="0027371F" w:rsidRPr="001C429B" w14:paraId="165373A2" w14:textId="77777777" w:rsidTr="00F4318D">
        <w:tc>
          <w:tcPr>
            <w:tcW w:w="4815" w:type="dxa"/>
          </w:tcPr>
          <w:p w14:paraId="353FAECD" w14:textId="19BE8713" w:rsidR="0027371F" w:rsidRPr="001C429B" w:rsidRDefault="0027371F" w:rsidP="0027371F">
            <w:pPr>
              <w:spacing w:before="40" w:line="240" w:lineRule="auto"/>
              <w:rPr>
                <w:rFonts w:cs="Arial"/>
                <w:sz w:val="20"/>
                <w:szCs w:val="20"/>
              </w:rPr>
            </w:pPr>
            <w:r w:rsidRPr="001C429B">
              <w:rPr>
                <w:rFonts w:cs="Arial"/>
                <w:sz w:val="20"/>
                <w:szCs w:val="20"/>
              </w:rPr>
              <w:lastRenderedPageBreak/>
              <w:t>What is the role of the Department of</w:t>
            </w:r>
            <w:r w:rsidR="009F3D7F">
              <w:rPr>
                <w:rFonts w:cs="Arial"/>
                <w:sz w:val="20"/>
                <w:szCs w:val="20"/>
              </w:rPr>
              <w:t xml:space="preserve"> </w:t>
            </w:r>
            <w:r w:rsidRPr="001C429B">
              <w:rPr>
                <w:rFonts w:cs="Arial"/>
                <w:sz w:val="20"/>
                <w:szCs w:val="20"/>
              </w:rPr>
              <w:t>Employment, Small Business and Training</w:t>
            </w:r>
            <w:r>
              <w:rPr>
                <w:rFonts w:cs="Arial"/>
                <w:sz w:val="20"/>
                <w:szCs w:val="20"/>
              </w:rPr>
              <w:t xml:space="preserve"> (DESBT)</w:t>
            </w:r>
            <w:r w:rsidRPr="001C429B">
              <w:rPr>
                <w:rFonts w:cs="Arial"/>
                <w:sz w:val="20"/>
                <w:szCs w:val="20"/>
              </w:rPr>
              <w:t xml:space="preserve"> in relation to SATs?</w:t>
            </w:r>
          </w:p>
        </w:tc>
        <w:tc>
          <w:tcPr>
            <w:tcW w:w="10489" w:type="dxa"/>
          </w:tcPr>
          <w:p w14:paraId="6721CA1C" w14:textId="271B4E5D" w:rsidR="0027371F" w:rsidRPr="001C429B" w:rsidRDefault="0027371F" w:rsidP="0027371F">
            <w:pPr>
              <w:spacing w:before="40" w:line="240" w:lineRule="auto"/>
              <w:rPr>
                <w:rFonts w:cs="Arial"/>
                <w:sz w:val="20"/>
                <w:szCs w:val="20"/>
              </w:rPr>
            </w:pPr>
            <w:r>
              <w:rPr>
                <w:rFonts w:cs="Arial"/>
                <w:sz w:val="20"/>
                <w:szCs w:val="20"/>
              </w:rPr>
              <w:t>DESBT oversees and administers the apprenticeship and traineeship system and helps employers, apprentices, and trainees, including school-based apprentices and trainees, get the most from their experience.</w:t>
            </w:r>
          </w:p>
        </w:tc>
      </w:tr>
      <w:tr w:rsidR="0027371F" w:rsidRPr="001C429B" w14:paraId="0A3F883D" w14:textId="77777777" w:rsidTr="00F4318D">
        <w:tc>
          <w:tcPr>
            <w:tcW w:w="4815" w:type="dxa"/>
          </w:tcPr>
          <w:p w14:paraId="68596AFC" w14:textId="2832E4C2" w:rsidR="0027371F" w:rsidRDefault="0027371F" w:rsidP="0027371F">
            <w:pPr>
              <w:spacing w:before="40" w:line="240" w:lineRule="auto"/>
              <w:rPr>
                <w:rFonts w:cs="Arial"/>
                <w:sz w:val="20"/>
                <w:szCs w:val="20"/>
              </w:rPr>
            </w:pPr>
            <w:r w:rsidRPr="001C429B">
              <w:rPr>
                <w:rFonts w:cs="Arial"/>
                <w:sz w:val="20"/>
                <w:szCs w:val="20"/>
              </w:rPr>
              <w:t>What is the role of the Australian Apprenticeship Support Network (AASN) provider?</w:t>
            </w:r>
          </w:p>
        </w:tc>
        <w:tc>
          <w:tcPr>
            <w:tcW w:w="10489" w:type="dxa"/>
          </w:tcPr>
          <w:p w14:paraId="496A3351" w14:textId="5EC6A2D0" w:rsidR="0027371F" w:rsidRDefault="0027371F" w:rsidP="0027371F">
            <w:pPr>
              <w:spacing w:before="40" w:line="240" w:lineRule="auto"/>
              <w:rPr>
                <w:rFonts w:cs="Arial"/>
                <w:sz w:val="20"/>
                <w:szCs w:val="20"/>
              </w:rPr>
            </w:pPr>
            <w:r>
              <w:rPr>
                <w:rFonts w:cs="Arial"/>
                <w:sz w:val="20"/>
                <w:szCs w:val="20"/>
              </w:rPr>
              <w:t>The AASN provider assist</w:t>
            </w:r>
            <w:r w:rsidR="00A25DA4">
              <w:rPr>
                <w:rFonts w:cs="Arial"/>
                <w:sz w:val="20"/>
                <w:szCs w:val="20"/>
              </w:rPr>
              <w:t>s</w:t>
            </w:r>
            <w:r>
              <w:rPr>
                <w:rFonts w:cs="Arial"/>
                <w:sz w:val="20"/>
                <w:szCs w:val="20"/>
              </w:rPr>
              <w:t xml:space="preserve"> the school-based apprentice or trainee and employer to complete and sign a training contract which is a legally binding contract. Once the SAT has commenced, the AASN provider will become the first point of call for any matters relating to the SAT.</w:t>
            </w:r>
          </w:p>
        </w:tc>
      </w:tr>
      <w:tr w:rsidR="0027371F" w:rsidRPr="001C429B" w14:paraId="4D89CCEE" w14:textId="77777777" w:rsidTr="00F4318D">
        <w:tc>
          <w:tcPr>
            <w:tcW w:w="4815" w:type="dxa"/>
          </w:tcPr>
          <w:p w14:paraId="646B5062" w14:textId="6D4B79D2" w:rsidR="0027371F" w:rsidRPr="001C429B" w:rsidRDefault="0027371F" w:rsidP="0027371F">
            <w:pPr>
              <w:spacing w:before="40" w:line="240" w:lineRule="auto"/>
              <w:rPr>
                <w:rFonts w:cs="Arial"/>
                <w:sz w:val="20"/>
                <w:szCs w:val="20"/>
              </w:rPr>
            </w:pPr>
            <w:r>
              <w:rPr>
                <w:rFonts w:cs="Arial"/>
                <w:sz w:val="20"/>
                <w:szCs w:val="20"/>
              </w:rPr>
              <w:t>What is the role of the Supervising Registered Training Organisation (SRTO)?</w:t>
            </w:r>
          </w:p>
        </w:tc>
        <w:tc>
          <w:tcPr>
            <w:tcW w:w="10489" w:type="dxa"/>
          </w:tcPr>
          <w:p w14:paraId="399D9C48" w14:textId="5DC5C24D" w:rsidR="0027371F" w:rsidRDefault="0027371F" w:rsidP="0027371F">
            <w:pPr>
              <w:spacing w:before="40" w:line="240" w:lineRule="auto"/>
              <w:rPr>
                <w:rFonts w:cs="Arial"/>
                <w:sz w:val="20"/>
                <w:szCs w:val="20"/>
              </w:rPr>
            </w:pPr>
            <w:r>
              <w:rPr>
                <w:rFonts w:cs="Arial"/>
                <w:sz w:val="20"/>
                <w:szCs w:val="20"/>
              </w:rPr>
              <w:t>The SRTO is the registered training organisation which delivers off-the-job training and assessment services to an apprentice or trainee under a training contract.</w:t>
            </w:r>
          </w:p>
          <w:p w14:paraId="25075EB1" w14:textId="77777777" w:rsidR="00B8461C" w:rsidRDefault="0027371F" w:rsidP="0027371F">
            <w:pPr>
              <w:spacing w:before="40" w:line="240" w:lineRule="auto"/>
              <w:rPr>
                <w:rFonts w:cs="Arial"/>
                <w:sz w:val="20"/>
                <w:szCs w:val="20"/>
              </w:rPr>
            </w:pPr>
            <w:r>
              <w:rPr>
                <w:rFonts w:cs="Arial"/>
                <w:sz w:val="20"/>
                <w:szCs w:val="20"/>
              </w:rPr>
              <w:t>The SRTO ensures that</w:t>
            </w:r>
            <w:r w:rsidR="00B8461C">
              <w:rPr>
                <w:rFonts w:cs="Arial"/>
                <w:sz w:val="20"/>
                <w:szCs w:val="20"/>
              </w:rPr>
              <w:t>:</w:t>
            </w:r>
          </w:p>
          <w:p w14:paraId="4D944EEC" w14:textId="595977D2" w:rsidR="00B8461C" w:rsidRDefault="00B8461C" w:rsidP="00B8461C">
            <w:pPr>
              <w:pStyle w:val="ListParagraph"/>
              <w:numPr>
                <w:ilvl w:val="0"/>
                <w:numId w:val="12"/>
              </w:numPr>
              <w:spacing w:before="40" w:line="240" w:lineRule="auto"/>
              <w:rPr>
                <w:rFonts w:cs="Arial"/>
                <w:sz w:val="20"/>
                <w:szCs w:val="20"/>
              </w:rPr>
            </w:pPr>
            <w:r w:rsidRPr="00B8461C">
              <w:rPr>
                <w:rFonts w:cs="Arial"/>
                <w:sz w:val="20"/>
                <w:szCs w:val="20"/>
              </w:rPr>
              <w:t xml:space="preserve">the student does not exceed the </w:t>
            </w:r>
            <w:hyperlink r:id="rId30" w:history="1">
              <w:r w:rsidRPr="00B8461C">
                <w:rPr>
                  <w:rStyle w:val="Hyperlink"/>
                  <w:rFonts w:cs="Arial"/>
                  <w:sz w:val="20"/>
                  <w:szCs w:val="20"/>
                </w:rPr>
                <w:t>institutional training delivery limit</w:t>
              </w:r>
            </w:hyperlink>
            <w:r w:rsidRPr="00B8461C">
              <w:rPr>
                <w:rFonts w:cs="Arial"/>
                <w:sz w:val="20"/>
                <w:szCs w:val="20"/>
              </w:rPr>
              <w:t xml:space="preserve"> for school-based apprentices</w:t>
            </w:r>
            <w:r>
              <w:rPr>
                <w:rFonts w:cs="Arial"/>
                <w:sz w:val="20"/>
                <w:szCs w:val="20"/>
              </w:rPr>
              <w:t>; and</w:t>
            </w:r>
          </w:p>
          <w:p w14:paraId="03F79E8A" w14:textId="0560FCDA" w:rsidR="0027371F" w:rsidRPr="00B833C9" w:rsidRDefault="0027371F" w:rsidP="00B833C9">
            <w:pPr>
              <w:pStyle w:val="ListParagraph"/>
              <w:numPr>
                <w:ilvl w:val="0"/>
                <w:numId w:val="12"/>
              </w:numPr>
              <w:spacing w:before="40" w:line="240" w:lineRule="auto"/>
              <w:rPr>
                <w:rFonts w:cs="Arial"/>
                <w:sz w:val="20"/>
                <w:szCs w:val="20"/>
              </w:rPr>
            </w:pPr>
            <w:r w:rsidRPr="00B833C9">
              <w:rPr>
                <w:rFonts w:cs="Arial"/>
                <w:sz w:val="20"/>
                <w:szCs w:val="20"/>
              </w:rPr>
              <w:t>reasonable adjustments are provided to support a student with disability to access and participate in a SAT on the same basis as a student without disability.</w:t>
            </w:r>
          </w:p>
        </w:tc>
      </w:tr>
      <w:tr w:rsidR="0027371F" w:rsidRPr="001C429B" w14:paraId="174F1671" w14:textId="77777777" w:rsidTr="00F4318D">
        <w:tc>
          <w:tcPr>
            <w:tcW w:w="4815" w:type="dxa"/>
          </w:tcPr>
          <w:p w14:paraId="1D05DDBE" w14:textId="0BE827CA" w:rsidR="0027371F" w:rsidRPr="00323D72" w:rsidRDefault="0027371F" w:rsidP="0027371F">
            <w:pPr>
              <w:spacing w:before="40" w:line="240" w:lineRule="auto"/>
              <w:rPr>
                <w:rFonts w:cs="Arial"/>
                <w:sz w:val="20"/>
                <w:szCs w:val="20"/>
              </w:rPr>
            </w:pPr>
            <w:r w:rsidRPr="00323D72">
              <w:rPr>
                <w:rFonts w:cs="Arial"/>
                <w:sz w:val="20"/>
                <w:szCs w:val="20"/>
              </w:rPr>
              <w:t>How do I find out how many days of on-the-job training is required to be completed for a SAT?</w:t>
            </w:r>
          </w:p>
        </w:tc>
        <w:tc>
          <w:tcPr>
            <w:tcW w:w="10489" w:type="dxa"/>
          </w:tcPr>
          <w:p w14:paraId="05187BB9" w14:textId="644B16BF" w:rsidR="0027371F" w:rsidRPr="00323D72" w:rsidRDefault="0027371F" w:rsidP="0027371F">
            <w:pPr>
              <w:spacing w:before="40" w:line="240" w:lineRule="auto"/>
              <w:rPr>
                <w:rFonts w:cs="Arial"/>
                <w:sz w:val="20"/>
                <w:szCs w:val="20"/>
              </w:rPr>
            </w:pPr>
            <w:r w:rsidRPr="00323D72">
              <w:rPr>
                <w:rFonts w:cs="Arial"/>
                <w:sz w:val="20"/>
                <w:szCs w:val="20"/>
              </w:rPr>
              <w:t xml:space="preserve">Information about SATs qualifications, including the required number of on-the-job training days is provided on the </w:t>
            </w:r>
            <w:hyperlink r:id="rId31" w:history="1">
              <w:r w:rsidRPr="00323D72">
                <w:rPr>
                  <w:rStyle w:val="Hyperlink"/>
                  <w:sz w:val="20"/>
                  <w:szCs w:val="20"/>
                </w:rPr>
                <w:t>Queensland Training Information Service</w:t>
              </w:r>
            </w:hyperlink>
            <w:r w:rsidRPr="00323D72">
              <w:rPr>
                <w:rFonts w:cs="Arial"/>
                <w:sz w:val="20"/>
                <w:szCs w:val="20"/>
              </w:rPr>
              <w:t xml:space="preserve"> (QTIS) website. After entering the specific qualification (e.g. Certificate II in Business) in the search bar, detailed information about the qualification will be provided including the minimum number of days of paid employment under the ‘Available Contract Modes’ heading. </w:t>
            </w:r>
          </w:p>
        </w:tc>
      </w:tr>
      <w:tr w:rsidR="0027371F" w:rsidRPr="001C429B" w14:paraId="7A5D57AD" w14:textId="77777777" w:rsidTr="00F4318D">
        <w:tc>
          <w:tcPr>
            <w:tcW w:w="4815" w:type="dxa"/>
          </w:tcPr>
          <w:p w14:paraId="586CF7DD" w14:textId="2FB4773A" w:rsidR="0027371F" w:rsidRPr="00323D72" w:rsidRDefault="0027371F" w:rsidP="0027371F">
            <w:pPr>
              <w:spacing w:before="40" w:line="240" w:lineRule="auto"/>
              <w:rPr>
                <w:rFonts w:cs="Arial"/>
                <w:sz w:val="20"/>
                <w:szCs w:val="20"/>
              </w:rPr>
            </w:pPr>
            <w:r w:rsidRPr="00323D72">
              <w:rPr>
                <w:rFonts w:cs="Arial"/>
                <w:sz w:val="20"/>
                <w:szCs w:val="20"/>
              </w:rPr>
              <w:t>What arrangements are available if a school-based trainee is unable to complete the minimum number of days of paid employment?</w:t>
            </w:r>
          </w:p>
        </w:tc>
        <w:tc>
          <w:tcPr>
            <w:tcW w:w="10489" w:type="dxa"/>
          </w:tcPr>
          <w:p w14:paraId="394EBDBE" w14:textId="77777777" w:rsidR="0027371F" w:rsidRPr="00323D72" w:rsidRDefault="0027371F" w:rsidP="0027371F">
            <w:pPr>
              <w:spacing w:before="40" w:line="240" w:lineRule="auto"/>
              <w:rPr>
                <w:rFonts w:cs="Arial"/>
                <w:sz w:val="20"/>
                <w:szCs w:val="20"/>
              </w:rPr>
            </w:pPr>
            <w:r w:rsidRPr="00323D72">
              <w:rPr>
                <w:rFonts w:cs="Arial"/>
                <w:sz w:val="20"/>
                <w:szCs w:val="20"/>
              </w:rPr>
              <w:t xml:space="preserve">If a school-based trainee is unable to complete the minimum paid employment requirement (e.g. due to sickness), the student can undertake additional training days during the school year or extend their contract into a second year. </w:t>
            </w:r>
          </w:p>
          <w:p w14:paraId="676DCCF9" w14:textId="706D20D9" w:rsidR="0027371F" w:rsidRPr="00323D72" w:rsidRDefault="0027371F" w:rsidP="0027371F">
            <w:pPr>
              <w:spacing w:before="40" w:line="240" w:lineRule="auto"/>
              <w:rPr>
                <w:rFonts w:cs="Arial"/>
                <w:sz w:val="20"/>
                <w:szCs w:val="20"/>
              </w:rPr>
            </w:pPr>
            <w:r w:rsidRPr="00323D72">
              <w:rPr>
                <w:rFonts w:cs="Arial"/>
                <w:sz w:val="20"/>
                <w:szCs w:val="20"/>
              </w:rPr>
              <w:t>The minimum number of days must be completed and the trainee deemed competent before the school-based trainee can transition into part time or full</w:t>
            </w:r>
            <w:r w:rsidR="00B833C9">
              <w:rPr>
                <w:rFonts w:cs="Arial"/>
                <w:sz w:val="20"/>
                <w:szCs w:val="20"/>
              </w:rPr>
              <w:t>-</w:t>
            </w:r>
            <w:r w:rsidRPr="00323D72">
              <w:rPr>
                <w:rFonts w:cs="Arial"/>
                <w:sz w:val="20"/>
                <w:szCs w:val="20"/>
              </w:rPr>
              <w:t>time employment after completing Year 12.</w:t>
            </w:r>
          </w:p>
        </w:tc>
      </w:tr>
      <w:tr w:rsidR="0027371F" w:rsidRPr="001C429B" w14:paraId="182CACC6" w14:textId="77777777" w:rsidTr="00F4318D">
        <w:tc>
          <w:tcPr>
            <w:tcW w:w="4815" w:type="dxa"/>
          </w:tcPr>
          <w:p w14:paraId="33B04545" w14:textId="22E1FB0D" w:rsidR="0027371F" w:rsidRPr="00323D72" w:rsidRDefault="0027371F" w:rsidP="0027371F">
            <w:pPr>
              <w:spacing w:before="40" w:line="240" w:lineRule="auto"/>
              <w:rPr>
                <w:rFonts w:cs="Arial"/>
                <w:sz w:val="20"/>
                <w:szCs w:val="20"/>
              </w:rPr>
            </w:pPr>
            <w:r w:rsidRPr="00323D72">
              <w:rPr>
                <w:rFonts w:cs="Arial"/>
                <w:sz w:val="20"/>
                <w:szCs w:val="20"/>
              </w:rPr>
              <w:t>How do the completed units of competency undertaken through a SAT appear in a student’s learning account?</w:t>
            </w:r>
          </w:p>
        </w:tc>
        <w:tc>
          <w:tcPr>
            <w:tcW w:w="10489" w:type="dxa"/>
          </w:tcPr>
          <w:p w14:paraId="5268EDB3" w14:textId="77777777" w:rsidR="0027371F" w:rsidRPr="00323D72" w:rsidRDefault="0027371F" w:rsidP="0027371F">
            <w:pPr>
              <w:spacing w:before="40" w:line="240" w:lineRule="auto"/>
              <w:rPr>
                <w:rFonts w:cs="Arial"/>
                <w:sz w:val="20"/>
                <w:szCs w:val="20"/>
              </w:rPr>
            </w:pPr>
            <w:r w:rsidRPr="00323D72">
              <w:rPr>
                <w:rFonts w:cs="Arial"/>
                <w:sz w:val="20"/>
                <w:szCs w:val="20"/>
              </w:rPr>
              <w:t xml:space="preserve">The SRTO records a student’s completed units of competency in the SRTO student management system. </w:t>
            </w:r>
          </w:p>
          <w:p w14:paraId="1E73CCE9" w14:textId="77777777" w:rsidR="0027371F" w:rsidRPr="00323D72" w:rsidRDefault="0027371F" w:rsidP="0027371F">
            <w:pPr>
              <w:spacing w:before="40" w:line="240" w:lineRule="auto"/>
              <w:rPr>
                <w:rFonts w:cs="Arial"/>
                <w:sz w:val="20"/>
                <w:szCs w:val="20"/>
              </w:rPr>
            </w:pPr>
            <w:r w:rsidRPr="00323D72">
              <w:rPr>
                <w:rFonts w:cs="Arial"/>
                <w:sz w:val="20"/>
                <w:szCs w:val="20"/>
              </w:rPr>
              <w:t xml:space="preserve">At scheduled times during the year, the SRTO will complete their Australian Vocational Education and Training Management Information Statistical Standard (AVETMISS) reporting to the National Centre for Vocational Education Research (NCVER). </w:t>
            </w:r>
          </w:p>
          <w:p w14:paraId="0C5E493F" w14:textId="5B88DB2A" w:rsidR="0027371F" w:rsidRPr="00323D72" w:rsidRDefault="0027371F" w:rsidP="0027371F">
            <w:pPr>
              <w:spacing w:before="40" w:line="240" w:lineRule="auto"/>
              <w:rPr>
                <w:rFonts w:cs="Arial"/>
                <w:sz w:val="20"/>
                <w:szCs w:val="20"/>
              </w:rPr>
            </w:pPr>
            <w:r w:rsidRPr="00323D72">
              <w:rPr>
                <w:rFonts w:cs="Arial"/>
                <w:sz w:val="20"/>
                <w:szCs w:val="20"/>
              </w:rPr>
              <w:t xml:space="preserve">Following receipt of this information by NCVER, it will become available in the student’s learning account. </w:t>
            </w:r>
          </w:p>
        </w:tc>
      </w:tr>
    </w:tbl>
    <w:p w14:paraId="71A770D3" w14:textId="6F938B12" w:rsidR="00E8656E" w:rsidRPr="00965D1A" w:rsidRDefault="00E8656E" w:rsidP="009B295F"/>
    <w:sectPr w:rsidR="00E8656E" w:rsidRPr="00965D1A" w:rsidSect="00C742D6">
      <w:headerReference w:type="default" r:id="rId32"/>
      <w:footerReference w:type="default" r:id="rId33"/>
      <w:type w:val="continuous"/>
      <w:pgSz w:w="16840" w:h="11900" w:orient="landscape"/>
      <w:pgMar w:top="1418" w:right="794" w:bottom="1134" w:left="794" w:header="709" w:footer="283"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533F" w14:textId="77777777" w:rsidR="00680AD2" w:rsidRDefault="00680AD2" w:rsidP="00190C24">
      <w:r>
        <w:separator/>
      </w:r>
    </w:p>
  </w:endnote>
  <w:endnote w:type="continuationSeparator" w:id="0">
    <w:p w14:paraId="6F043029" w14:textId="77777777" w:rsidR="00680AD2" w:rsidRDefault="00680AD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7517" w14:textId="4EF5033E" w:rsidR="00BB6CD6" w:rsidRDefault="00BB6CD6" w:rsidP="00C742D6">
    <w:pPr>
      <w:pStyle w:val="Footer"/>
      <w:tabs>
        <w:tab w:val="clear" w:pos="4513"/>
        <w:tab w:val="clear" w:pos="9026"/>
        <w:tab w:val="left" w:pos="10918"/>
      </w:tabs>
      <w:spacing w:line="240" w:lineRule="auto"/>
    </w:pPr>
    <w:r>
      <w:rPr>
        <w:noProof/>
        <w:lang w:eastAsia="zh-CN"/>
      </w:rPr>
      <w:drawing>
        <wp:anchor distT="0" distB="0" distL="114300" distR="114300" simplePos="0" relativeHeight="251659264" behindDoc="1" locked="0" layoutInCell="1" allowOverlap="1" wp14:anchorId="334B2FC6" wp14:editId="72409CF9">
          <wp:simplePos x="0" y="0"/>
          <wp:positionH relativeFrom="margin">
            <wp:posOffset>8283584</wp:posOffset>
          </wp:positionH>
          <wp:positionV relativeFrom="paragraph">
            <wp:posOffset>84038</wp:posOffset>
          </wp:positionV>
          <wp:extent cx="1374140" cy="641350"/>
          <wp:effectExtent l="0" t="0" r="0" b="6350"/>
          <wp:wrapTight wrapText="bothSides">
            <wp:wrapPolygon edited="0">
              <wp:start x="0" y="0"/>
              <wp:lineTo x="0" y="21172"/>
              <wp:lineTo x="21261" y="21172"/>
              <wp:lineTo x="212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4140" cy="641350"/>
                  </a:xfrm>
                  <a:prstGeom prst="rect">
                    <a:avLst/>
                  </a:prstGeom>
                </pic:spPr>
              </pic:pic>
            </a:graphicData>
          </a:graphic>
          <wp14:sizeRelH relativeFrom="page">
            <wp14:pctWidth>0</wp14:pctWidth>
          </wp14:sizeRelH>
          <wp14:sizeRelV relativeFrom="page">
            <wp14:pctHeight>0</wp14:pctHeight>
          </wp14:sizeRelV>
        </wp:anchor>
      </w:drawing>
    </w:r>
    <w:r>
      <w:tab/>
    </w:r>
  </w:p>
  <w:p w14:paraId="622ADC31" w14:textId="34D0B98A" w:rsidR="00BB6CD6" w:rsidRPr="00BB6CD6" w:rsidRDefault="00BE7FAF" w:rsidP="00C742D6">
    <w:pPr>
      <w:pStyle w:val="Footer"/>
      <w:spacing w:line="240" w:lineRule="auto"/>
      <w:rPr>
        <w:sz w:val="16"/>
        <w:szCs w:val="16"/>
      </w:rPr>
    </w:pPr>
    <w:sdt>
      <w:sdtPr>
        <w:rPr>
          <w:sz w:val="16"/>
          <w:szCs w:val="16"/>
        </w:rPr>
        <w:id w:val="870962080"/>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r w:rsidR="00BB6CD6" w:rsidRPr="00BB6CD6">
              <w:rPr>
                <w:b/>
                <w:sz w:val="16"/>
                <w:szCs w:val="16"/>
              </w:rPr>
              <w:t>Uncontrolled copy.</w:t>
            </w:r>
            <w:r w:rsidR="00BB6CD6" w:rsidRPr="00BB6CD6">
              <w:rPr>
                <w:sz w:val="16"/>
                <w:szCs w:val="16"/>
              </w:rPr>
              <w:t xml:space="preserve"> Refer to the Department of Education Policy and P</w:t>
            </w:r>
            <w:r w:rsidR="00BB6CD6">
              <w:rPr>
                <w:sz w:val="16"/>
                <w:szCs w:val="16"/>
              </w:rPr>
              <w:t xml:space="preserve">rocedure Register </w:t>
            </w:r>
            <w:r w:rsidR="00961BDA">
              <w:rPr>
                <w:sz w:val="16"/>
                <w:szCs w:val="16"/>
              </w:rPr>
              <w:t xml:space="preserve">at </w:t>
            </w:r>
            <w:hyperlink r:id="rId2" w:history="1">
              <w:r w:rsidR="00C742D6" w:rsidRPr="00BD093C">
                <w:rPr>
                  <w:rStyle w:val="Hyperlink"/>
                  <w:sz w:val="16"/>
                  <w:szCs w:val="16"/>
                </w:rPr>
                <w:t>https://ppr.qed.qld.gov.au/pp/school-based-apprenticeships-and-traineeships-procedure</w:t>
              </w:r>
            </w:hyperlink>
            <w:r w:rsidR="00C742D6">
              <w:rPr>
                <w:sz w:val="16"/>
                <w:szCs w:val="16"/>
              </w:rPr>
              <w:t xml:space="preserve"> </w:t>
            </w:r>
            <w:r w:rsidR="00BB6CD6" w:rsidRPr="00BB6CD6">
              <w:rPr>
                <w:sz w:val="16"/>
                <w:szCs w:val="16"/>
              </w:rPr>
              <w:t xml:space="preserve">to ensure you have the most current version of this document. </w:t>
            </w:r>
            <w:r w:rsidR="00BB6CD6">
              <w:rPr>
                <w:sz w:val="16"/>
                <w:szCs w:val="16"/>
              </w:rPr>
              <w:t xml:space="preserve">                                                            </w:t>
            </w:r>
            <w:r w:rsidR="00C742D6">
              <w:rPr>
                <w:sz w:val="16"/>
                <w:szCs w:val="16"/>
              </w:rPr>
              <w:tab/>
            </w:r>
            <w:r w:rsidR="00BB6CD6" w:rsidRPr="00BB6CD6">
              <w:rPr>
                <w:sz w:val="16"/>
                <w:szCs w:val="16"/>
              </w:rPr>
              <w:t xml:space="preserve">Page </w:t>
            </w:r>
            <w:r w:rsidR="00BB6CD6" w:rsidRPr="00BB6CD6">
              <w:rPr>
                <w:b/>
                <w:bCs/>
                <w:sz w:val="16"/>
                <w:szCs w:val="16"/>
              </w:rPr>
              <w:fldChar w:fldCharType="begin"/>
            </w:r>
            <w:r w:rsidR="00BB6CD6" w:rsidRPr="00BB6CD6">
              <w:rPr>
                <w:b/>
                <w:bCs/>
                <w:sz w:val="16"/>
                <w:szCs w:val="16"/>
              </w:rPr>
              <w:instrText xml:space="preserve"> PAGE </w:instrText>
            </w:r>
            <w:r w:rsidR="00BB6CD6" w:rsidRPr="00BB6CD6">
              <w:rPr>
                <w:b/>
                <w:bCs/>
                <w:sz w:val="16"/>
                <w:szCs w:val="16"/>
              </w:rPr>
              <w:fldChar w:fldCharType="separate"/>
            </w:r>
            <w:r w:rsidR="00C742D6">
              <w:rPr>
                <w:b/>
                <w:bCs/>
                <w:noProof/>
                <w:sz w:val="16"/>
                <w:szCs w:val="16"/>
              </w:rPr>
              <w:t>4</w:t>
            </w:r>
            <w:r w:rsidR="00BB6CD6" w:rsidRPr="00BB6CD6">
              <w:rPr>
                <w:b/>
                <w:bCs/>
                <w:sz w:val="16"/>
                <w:szCs w:val="16"/>
              </w:rPr>
              <w:fldChar w:fldCharType="end"/>
            </w:r>
            <w:r w:rsidR="00BB6CD6" w:rsidRPr="00BB6CD6">
              <w:rPr>
                <w:sz w:val="16"/>
                <w:szCs w:val="16"/>
              </w:rPr>
              <w:t xml:space="preserve"> of </w:t>
            </w:r>
            <w:r w:rsidR="00BB6CD6" w:rsidRPr="00BB6CD6">
              <w:rPr>
                <w:b/>
                <w:bCs/>
                <w:sz w:val="16"/>
                <w:szCs w:val="16"/>
              </w:rPr>
              <w:fldChar w:fldCharType="begin"/>
            </w:r>
            <w:r w:rsidR="00BB6CD6" w:rsidRPr="00BB6CD6">
              <w:rPr>
                <w:b/>
                <w:bCs/>
                <w:sz w:val="16"/>
                <w:szCs w:val="16"/>
              </w:rPr>
              <w:instrText xml:space="preserve"> NUMPAGES  </w:instrText>
            </w:r>
            <w:r w:rsidR="00BB6CD6" w:rsidRPr="00BB6CD6">
              <w:rPr>
                <w:b/>
                <w:bCs/>
                <w:sz w:val="16"/>
                <w:szCs w:val="16"/>
              </w:rPr>
              <w:fldChar w:fldCharType="separate"/>
            </w:r>
            <w:r w:rsidR="00C742D6">
              <w:rPr>
                <w:b/>
                <w:bCs/>
                <w:noProof/>
                <w:sz w:val="16"/>
                <w:szCs w:val="16"/>
              </w:rPr>
              <w:t>5</w:t>
            </w:r>
            <w:r w:rsidR="00BB6CD6" w:rsidRPr="00BB6CD6">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5D6C" w14:textId="77777777" w:rsidR="00680AD2" w:rsidRDefault="00680AD2" w:rsidP="00190C24">
      <w:r>
        <w:separator/>
      </w:r>
    </w:p>
  </w:footnote>
  <w:footnote w:type="continuationSeparator" w:id="0">
    <w:p w14:paraId="0DB5B137" w14:textId="77777777" w:rsidR="00680AD2" w:rsidRDefault="00680AD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3870" w14:textId="77777777" w:rsidR="00D01CD2" w:rsidRDefault="002F78A2" w:rsidP="00190C24">
    <w:pPr>
      <w:pStyle w:val="Header"/>
    </w:pPr>
    <w:r>
      <w:rPr>
        <w:noProof/>
        <w:lang w:eastAsia="zh-CN"/>
      </w:rPr>
      <w:drawing>
        <wp:anchor distT="0" distB="0" distL="114300" distR="114300" simplePos="0" relativeHeight="251658240" behindDoc="1" locked="1" layoutInCell="1" allowOverlap="1" wp14:anchorId="657C3AFE" wp14:editId="7885B5E4">
          <wp:simplePos x="0" y="0"/>
          <wp:positionH relativeFrom="page">
            <wp:align>left</wp:align>
          </wp:positionH>
          <wp:positionV relativeFrom="page">
            <wp:align>top</wp:align>
          </wp:positionV>
          <wp:extent cx="10692000" cy="50400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8D5"/>
    <w:multiLevelType w:val="hybridMultilevel"/>
    <w:tmpl w:val="00B68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361025"/>
    <w:multiLevelType w:val="hybridMultilevel"/>
    <w:tmpl w:val="0F2A1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BD3E29"/>
    <w:multiLevelType w:val="hybridMultilevel"/>
    <w:tmpl w:val="E8242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C268A8"/>
    <w:multiLevelType w:val="multilevel"/>
    <w:tmpl w:val="A218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6102B"/>
    <w:multiLevelType w:val="hybridMultilevel"/>
    <w:tmpl w:val="DCD20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5C05FB7"/>
    <w:multiLevelType w:val="hybridMultilevel"/>
    <w:tmpl w:val="97D40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1E40FA"/>
    <w:multiLevelType w:val="hybridMultilevel"/>
    <w:tmpl w:val="FF3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624E85"/>
    <w:multiLevelType w:val="hybridMultilevel"/>
    <w:tmpl w:val="A6D6D3D2"/>
    <w:lvl w:ilvl="0" w:tplc="2ED645D6">
      <w:start w:val="1"/>
      <w:numFmt w:val="bullet"/>
      <w:lvlText w:val=""/>
      <w:lvlJc w:val="left"/>
      <w:pPr>
        <w:ind w:left="720" w:hanging="360"/>
      </w:pPr>
      <w:rPr>
        <w:rFonts w:ascii="Symbol" w:hAnsi="Symbol" w:hint="default"/>
        <w:color w:val="auto"/>
      </w:rPr>
    </w:lvl>
    <w:lvl w:ilvl="1" w:tplc="2ED645D6">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
  </w:num>
  <w:num w:numId="4">
    <w:abstractNumId w:val="7"/>
  </w:num>
  <w:num w:numId="5">
    <w:abstractNumId w:val="0"/>
  </w:num>
  <w:num w:numId="6">
    <w:abstractNumId w:val="4"/>
  </w:num>
  <w:num w:numId="7">
    <w:abstractNumId w:val="3"/>
  </w:num>
  <w:num w:numId="8">
    <w:abstractNumId w:val="8"/>
  </w:num>
  <w:num w:numId="9">
    <w:abstractNumId w:val="2"/>
  </w:num>
  <w:num w:numId="10">
    <w:abstractNumId w:val="5"/>
  </w:num>
  <w:num w:numId="11">
    <w:abstractNumId w:val="9"/>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2F"/>
    <w:rsid w:val="000165A1"/>
    <w:rsid w:val="0004119B"/>
    <w:rsid w:val="000436FC"/>
    <w:rsid w:val="00057927"/>
    <w:rsid w:val="000622D8"/>
    <w:rsid w:val="00075490"/>
    <w:rsid w:val="00075D6C"/>
    <w:rsid w:val="000A1270"/>
    <w:rsid w:val="000A7230"/>
    <w:rsid w:val="000B3A52"/>
    <w:rsid w:val="000B61AC"/>
    <w:rsid w:val="000E3F6D"/>
    <w:rsid w:val="000F5EE3"/>
    <w:rsid w:val="000F7FDE"/>
    <w:rsid w:val="00164C8E"/>
    <w:rsid w:val="0017085C"/>
    <w:rsid w:val="001840DB"/>
    <w:rsid w:val="00190C24"/>
    <w:rsid w:val="00190E38"/>
    <w:rsid w:val="0019280B"/>
    <w:rsid w:val="001B60A6"/>
    <w:rsid w:val="001C52DE"/>
    <w:rsid w:val="001D3872"/>
    <w:rsid w:val="001D65BD"/>
    <w:rsid w:val="00222533"/>
    <w:rsid w:val="00223E07"/>
    <w:rsid w:val="00230449"/>
    <w:rsid w:val="002371F7"/>
    <w:rsid w:val="00244C3A"/>
    <w:rsid w:val="00253C8D"/>
    <w:rsid w:val="002640C3"/>
    <w:rsid w:val="002733A3"/>
    <w:rsid w:val="0027371F"/>
    <w:rsid w:val="002764C8"/>
    <w:rsid w:val="002836DC"/>
    <w:rsid w:val="00290633"/>
    <w:rsid w:val="0029515B"/>
    <w:rsid w:val="002A7B08"/>
    <w:rsid w:val="002B5CAB"/>
    <w:rsid w:val="002C75D8"/>
    <w:rsid w:val="002D5323"/>
    <w:rsid w:val="002F78A2"/>
    <w:rsid w:val="00323D72"/>
    <w:rsid w:val="00324A48"/>
    <w:rsid w:val="00333459"/>
    <w:rsid w:val="00364D1A"/>
    <w:rsid w:val="00375B34"/>
    <w:rsid w:val="0037631A"/>
    <w:rsid w:val="003939F3"/>
    <w:rsid w:val="003A3A59"/>
    <w:rsid w:val="003C6CC6"/>
    <w:rsid w:val="003D4642"/>
    <w:rsid w:val="00404BCA"/>
    <w:rsid w:val="00404F0E"/>
    <w:rsid w:val="00434F18"/>
    <w:rsid w:val="00444F85"/>
    <w:rsid w:val="00467712"/>
    <w:rsid w:val="004912DC"/>
    <w:rsid w:val="004A6684"/>
    <w:rsid w:val="004B0DF4"/>
    <w:rsid w:val="004D566D"/>
    <w:rsid w:val="004E2CF2"/>
    <w:rsid w:val="004F2796"/>
    <w:rsid w:val="00542E73"/>
    <w:rsid w:val="005451CC"/>
    <w:rsid w:val="00550609"/>
    <w:rsid w:val="00563538"/>
    <w:rsid w:val="005650AA"/>
    <w:rsid w:val="00590218"/>
    <w:rsid w:val="005979F1"/>
    <w:rsid w:val="005D3A6C"/>
    <w:rsid w:val="005D4C08"/>
    <w:rsid w:val="005E65AF"/>
    <w:rsid w:val="005F01B8"/>
    <w:rsid w:val="005F4331"/>
    <w:rsid w:val="006239A5"/>
    <w:rsid w:val="00636B71"/>
    <w:rsid w:val="006462DC"/>
    <w:rsid w:val="00647888"/>
    <w:rsid w:val="00650620"/>
    <w:rsid w:val="00653CFD"/>
    <w:rsid w:val="00680AD2"/>
    <w:rsid w:val="006974C4"/>
    <w:rsid w:val="006A683D"/>
    <w:rsid w:val="006C2974"/>
    <w:rsid w:val="006C3D8E"/>
    <w:rsid w:val="006D0E90"/>
    <w:rsid w:val="006E4906"/>
    <w:rsid w:val="007020D7"/>
    <w:rsid w:val="00717791"/>
    <w:rsid w:val="00721086"/>
    <w:rsid w:val="00727009"/>
    <w:rsid w:val="00753A4B"/>
    <w:rsid w:val="00775795"/>
    <w:rsid w:val="00781410"/>
    <w:rsid w:val="00781EFA"/>
    <w:rsid w:val="007B3868"/>
    <w:rsid w:val="007C0EEE"/>
    <w:rsid w:val="007C1692"/>
    <w:rsid w:val="007C3914"/>
    <w:rsid w:val="007D1162"/>
    <w:rsid w:val="007D6313"/>
    <w:rsid w:val="0080108D"/>
    <w:rsid w:val="00853B7B"/>
    <w:rsid w:val="00872528"/>
    <w:rsid w:val="00894DB8"/>
    <w:rsid w:val="00895BEC"/>
    <w:rsid w:val="008B2773"/>
    <w:rsid w:val="008C7896"/>
    <w:rsid w:val="008D3773"/>
    <w:rsid w:val="008E6F9C"/>
    <w:rsid w:val="00905075"/>
    <w:rsid w:val="00907963"/>
    <w:rsid w:val="00940C2F"/>
    <w:rsid w:val="009615DF"/>
    <w:rsid w:val="00961BDA"/>
    <w:rsid w:val="0096595E"/>
    <w:rsid w:val="00965D1A"/>
    <w:rsid w:val="009955E8"/>
    <w:rsid w:val="009B295F"/>
    <w:rsid w:val="009C79D5"/>
    <w:rsid w:val="009E011E"/>
    <w:rsid w:val="009E5EE5"/>
    <w:rsid w:val="009F3D7F"/>
    <w:rsid w:val="00A017CC"/>
    <w:rsid w:val="00A11DAF"/>
    <w:rsid w:val="00A25DA4"/>
    <w:rsid w:val="00A3210C"/>
    <w:rsid w:val="00A32B2C"/>
    <w:rsid w:val="00A47F67"/>
    <w:rsid w:val="00A65710"/>
    <w:rsid w:val="00A7700D"/>
    <w:rsid w:val="00A778A7"/>
    <w:rsid w:val="00A87C08"/>
    <w:rsid w:val="00AA7C2C"/>
    <w:rsid w:val="00AB0A25"/>
    <w:rsid w:val="00AB2E92"/>
    <w:rsid w:val="00AD56BC"/>
    <w:rsid w:val="00AD724E"/>
    <w:rsid w:val="00AF2A59"/>
    <w:rsid w:val="00B258BF"/>
    <w:rsid w:val="00B33337"/>
    <w:rsid w:val="00B63E07"/>
    <w:rsid w:val="00B8320E"/>
    <w:rsid w:val="00B833C9"/>
    <w:rsid w:val="00B8461C"/>
    <w:rsid w:val="00B8699D"/>
    <w:rsid w:val="00BA6BC6"/>
    <w:rsid w:val="00BB68B5"/>
    <w:rsid w:val="00BB6CD6"/>
    <w:rsid w:val="00BC1F73"/>
    <w:rsid w:val="00BC7CCF"/>
    <w:rsid w:val="00BD3E6C"/>
    <w:rsid w:val="00BD7523"/>
    <w:rsid w:val="00BE5ABD"/>
    <w:rsid w:val="00BE7FAF"/>
    <w:rsid w:val="00BF6A2E"/>
    <w:rsid w:val="00C02CDC"/>
    <w:rsid w:val="00C20E7F"/>
    <w:rsid w:val="00C31F26"/>
    <w:rsid w:val="00C36EDF"/>
    <w:rsid w:val="00C37B80"/>
    <w:rsid w:val="00C65706"/>
    <w:rsid w:val="00C659C0"/>
    <w:rsid w:val="00C66CB1"/>
    <w:rsid w:val="00C742D6"/>
    <w:rsid w:val="00C90F16"/>
    <w:rsid w:val="00CB07AD"/>
    <w:rsid w:val="00CB1F7B"/>
    <w:rsid w:val="00CD67E8"/>
    <w:rsid w:val="00CD793C"/>
    <w:rsid w:val="00CF107F"/>
    <w:rsid w:val="00D01CD2"/>
    <w:rsid w:val="00D15D9E"/>
    <w:rsid w:val="00D46DB8"/>
    <w:rsid w:val="00D75050"/>
    <w:rsid w:val="00D8275F"/>
    <w:rsid w:val="00D842DF"/>
    <w:rsid w:val="00D97C61"/>
    <w:rsid w:val="00DA4815"/>
    <w:rsid w:val="00DC5E03"/>
    <w:rsid w:val="00DD3987"/>
    <w:rsid w:val="00DE3847"/>
    <w:rsid w:val="00DF0588"/>
    <w:rsid w:val="00E22573"/>
    <w:rsid w:val="00E26F9B"/>
    <w:rsid w:val="00E43A19"/>
    <w:rsid w:val="00E6030E"/>
    <w:rsid w:val="00E8613A"/>
    <w:rsid w:val="00E8656E"/>
    <w:rsid w:val="00EB3C7B"/>
    <w:rsid w:val="00EC215D"/>
    <w:rsid w:val="00EE7F9F"/>
    <w:rsid w:val="00EF1456"/>
    <w:rsid w:val="00EF474F"/>
    <w:rsid w:val="00EF4AC5"/>
    <w:rsid w:val="00F17179"/>
    <w:rsid w:val="00F334BE"/>
    <w:rsid w:val="00F4318D"/>
    <w:rsid w:val="00F447A2"/>
    <w:rsid w:val="00F504D5"/>
    <w:rsid w:val="00F56ADB"/>
    <w:rsid w:val="00F62459"/>
    <w:rsid w:val="00F74849"/>
    <w:rsid w:val="00F75FD5"/>
    <w:rsid w:val="00F84B31"/>
    <w:rsid w:val="00F8790A"/>
    <w:rsid w:val="00FA266D"/>
    <w:rsid w:val="00FB12FE"/>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7E8920"/>
  <w15:chartTrackingRefBased/>
  <w15:docId w15:val="{EBD3FF46-D549-4C36-BAC2-3A0E05F6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table" w:styleId="TableGrid">
    <w:name w:val="Table Grid"/>
    <w:basedOn w:val="TableNormal"/>
    <w:uiPriority w:val="59"/>
    <w:rsid w:val="00965D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F18"/>
    <w:rPr>
      <w:sz w:val="16"/>
      <w:szCs w:val="16"/>
    </w:rPr>
  </w:style>
  <w:style w:type="paragraph" w:styleId="CommentText">
    <w:name w:val="annotation text"/>
    <w:basedOn w:val="Normal"/>
    <w:link w:val="CommentTextChar"/>
    <w:uiPriority w:val="99"/>
    <w:semiHidden/>
    <w:unhideWhenUsed/>
    <w:rsid w:val="00434F18"/>
    <w:pPr>
      <w:spacing w:line="240" w:lineRule="auto"/>
    </w:pPr>
    <w:rPr>
      <w:sz w:val="20"/>
      <w:szCs w:val="20"/>
    </w:rPr>
  </w:style>
  <w:style w:type="character" w:customStyle="1" w:styleId="CommentTextChar">
    <w:name w:val="Comment Text Char"/>
    <w:basedOn w:val="DefaultParagraphFont"/>
    <w:link w:val="CommentText"/>
    <w:uiPriority w:val="99"/>
    <w:semiHidden/>
    <w:rsid w:val="00434F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4F18"/>
    <w:rPr>
      <w:b/>
      <w:bCs/>
    </w:rPr>
  </w:style>
  <w:style w:type="character" w:customStyle="1" w:styleId="CommentSubjectChar">
    <w:name w:val="Comment Subject Char"/>
    <w:basedOn w:val="CommentTextChar"/>
    <w:link w:val="CommentSubject"/>
    <w:uiPriority w:val="99"/>
    <w:semiHidden/>
    <w:rsid w:val="00434F18"/>
    <w:rPr>
      <w:rFonts w:ascii="Arial" w:hAnsi="Arial"/>
      <w:b/>
      <w:bCs/>
      <w:sz w:val="20"/>
      <w:szCs w:val="20"/>
    </w:rPr>
  </w:style>
  <w:style w:type="paragraph" w:styleId="BalloonText">
    <w:name w:val="Balloon Text"/>
    <w:basedOn w:val="Normal"/>
    <w:link w:val="BalloonTextChar"/>
    <w:uiPriority w:val="99"/>
    <w:semiHidden/>
    <w:unhideWhenUsed/>
    <w:rsid w:val="00434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18"/>
    <w:rPr>
      <w:rFonts w:ascii="Segoe UI" w:hAnsi="Segoe UI" w:cs="Segoe UI"/>
      <w:sz w:val="18"/>
      <w:szCs w:val="18"/>
    </w:rPr>
  </w:style>
  <w:style w:type="character" w:styleId="Hyperlink">
    <w:name w:val="Hyperlink"/>
    <w:basedOn w:val="DefaultParagraphFont"/>
    <w:uiPriority w:val="99"/>
    <w:unhideWhenUsed/>
    <w:rsid w:val="00542E73"/>
    <w:rPr>
      <w:color w:val="0563C1" w:themeColor="hyperlink"/>
      <w:u w:val="single"/>
    </w:rPr>
  </w:style>
  <w:style w:type="character" w:styleId="FollowedHyperlink">
    <w:name w:val="FollowedHyperlink"/>
    <w:basedOn w:val="DefaultParagraphFont"/>
    <w:uiPriority w:val="99"/>
    <w:semiHidden/>
    <w:unhideWhenUsed/>
    <w:rsid w:val="007020D7"/>
    <w:rPr>
      <w:color w:val="954F72" w:themeColor="followedHyperlink"/>
      <w:u w:val="single"/>
    </w:rPr>
  </w:style>
  <w:style w:type="character" w:styleId="UnresolvedMention">
    <w:name w:val="Unresolved Mention"/>
    <w:basedOn w:val="DefaultParagraphFont"/>
    <w:uiPriority w:val="99"/>
    <w:semiHidden/>
    <w:unhideWhenUsed/>
    <w:rsid w:val="004F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126751017">
      <w:bodyDiv w:val="1"/>
      <w:marLeft w:val="0"/>
      <w:marRight w:val="0"/>
      <w:marTop w:val="0"/>
      <w:marBottom w:val="0"/>
      <w:divBdr>
        <w:top w:val="none" w:sz="0" w:space="0" w:color="auto"/>
        <w:left w:val="none" w:sz="0" w:space="0" w:color="auto"/>
        <w:bottom w:val="none" w:sz="0" w:space="0" w:color="auto"/>
        <w:right w:val="none" w:sz="0" w:space="0" w:color="auto"/>
      </w:divBdr>
      <w:divsChild>
        <w:div w:id="815799315">
          <w:marLeft w:val="0"/>
          <w:marRight w:val="0"/>
          <w:marTop w:val="0"/>
          <w:marBottom w:val="0"/>
          <w:divBdr>
            <w:top w:val="none" w:sz="0" w:space="0" w:color="auto"/>
            <w:left w:val="none" w:sz="0" w:space="0" w:color="auto"/>
            <w:bottom w:val="none" w:sz="0" w:space="0" w:color="auto"/>
            <w:right w:val="none" w:sz="0" w:space="0" w:color="auto"/>
          </w:divBdr>
          <w:divsChild>
            <w:div w:id="1405910643">
              <w:marLeft w:val="0"/>
              <w:marRight w:val="0"/>
              <w:marTop w:val="0"/>
              <w:marBottom w:val="0"/>
              <w:divBdr>
                <w:top w:val="none" w:sz="0" w:space="0" w:color="auto"/>
                <w:left w:val="none" w:sz="0" w:space="0" w:color="auto"/>
                <w:bottom w:val="none" w:sz="0" w:space="0" w:color="auto"/>
                <w:right w:val="none" w:sz="0" w:space="0" w:color="auto"/>
              </w:divBdr>
              <w:divsChild>
                <w:div w:id="794100825">
                  <w:marLeft w:val="0"/>
                  <w:marRight w:val="0"/>
                  <w:marTop w:val="0"/>
                  <w:marBottom w:val="0"/>
                  <w:divBdr>
                    <w:top w:val="none" w:sz="0" w:space="0" w:color="auto"/>
                    <w:left w:val="none" w:sz="0" w:space="0" w:color="auto"/>
                    <w:bottom w:val="none" w:sz="0" w:space="0" w:color="auto"/>
                    <w:right w:val="none" w:sz="0" w:space="0" w:color="auto"/>
                  </w:divBdr>
                  <w:divsChild>
                    <w:div w:id="734398849">
                      <w:marLeft w:val="-225"/>
                      <w:marRight w:val="-225"/>
                      <w:marTop w:val="0"/>
                      <w:marBottom w:val="0"/>
                      <w:divBdr>
                        <w:top w:val="none" w:sz="0" w:space="0" w:color="auto"/>
                        <w:left w:val="none" w:sz="0" w:space="0" w:color="auto"/>
                        <w:bottom w:val="none" w:sz="0" w:space="0" w:color="auto"/>
                        <w:right w:val="none" w:sz="0" w:space="0" w:color="auto"/>
                      </w:divBdr>
                      <w:divsChild>
                        <w:div w:id="1544632932">
                          <w:marLeft w:val="0"/>
                          <w:marRight w:val="0"/>
                          <w:marTop w:val="0"/>
                          <w:marBottom w:val="0"/>
                          <w:divBdr>
                            <w:top w:val="single" w:sz="36" w:space="0" w:color="84C44D"/>
                            <w:left w:val="none" w:sz="0" w:space="0" w:color="auto"/>
                            <w:bottom w:val="none" w:sz="0" w:space="0" w:color="auto"/>
                            <w:right w:val="none" w:sz="0" w:space="0" w:color="auto"/>
                          </w:divBdr>
                          <w:divsChild>
                            <w:div w:id="179126032">
                              <w:marLeft w:val="0"/>
                              <w:marRight w:val="0"/>
                              <w:marTop w:val="0"/>
                              <w:marBottom w:val="0"/>
                              <w:divBdr>
                                <w:top w:val="none" w:sz="0" w:space="0" w:color="auto"/>
                                <w:left w:val="none" w:sz="0" w:space="0" w:color="auto"/>
                                <w:bottom w:val="none" w:sz="0" w:space="0" w:color="auto"/>
                                <w:right w:val="none" w:sz="0" w:space="0" w:color="auto"/>
                              </w:divBdr>
                              <w:divsChild>
                                <w:div w:id="2078899726">
                                  <w:marLeft w:val="0"/>
                                  <w:marRight w:val="0"/>
                                  <w:marTop w:val="0"/>
                                  <w:marBottom w:val="0"/>
                                  <w:divBdr>
                                    <w:top w:val="none" w:sz="0" w:space="0" w:color="auto"/>
                                    <w:left w:val="none" w:sz="0" w:space="0" w:color="auto"/>
                                    <w:bottom w:val="none" w:sz="0" w:space="0" w:color="auto"/>
                                    <w:right w:val="none" w:sz="0" w:space="0" w:color="auto"/>
                                  </w:divBdr>
                                  <w:divsChild>
                                    <w:div w:id="2044403784">
                                      <w:marLeft w:val="0"/>
                                      <w:marRight w:val="0"/>
                                      <w:marTop w:val="0"/>
                                      <w:marBottom w:val="0"/>
                                      <w:divBdr>
                                        <w:top w:val="none" w:sz="0" w:space="0" w:color="auto"/>
                                        <w:left w:val="none" w:sz="0" w:space="0" w:color="auto"/>
                                        <w:bottom w:val="none" w:sz="0" w:space="0" w:color="auto"/>
                                        <w:right w:val="none" w:sz="0" w:space="0" w:color="auto"/>
                                      </w:divBdr>
                                      <w:divsChild>
                                        <w:div w:id="1132408715">
                                          <w:marLeft w:val="0"/>
                                          <w:marRight w:val="0"/>
                                          <w:marTop w:val="0"/>
                                          <w:marBottom w:val="0"/>
                                          <w:divBdr>
                                            <w:top w:val="none" w:sz="0" w:space="0" w:color="auto"/>
                                            <w:left w:val="none" w:sz="0" w:space="0" w:color="auto"/>
                                            <w:bottom w:val="none" w:sz="0" w:space="0" w:color="auto"/>
                                            <w:right w:val="none" w:sz="0" w:space="0" w:color="auto"/>
                                          </w:divBdr>
                                          <w:divsChild>
                                            <w:div w:id="1152023372">
                                              <w:marLeft w:val="0"/>
                                              <w:marRight w:val="0"/>
                                              <w:marTop w:val="0"/>
                                              <w:marBottom w:val="0"/>
                                              <w:divBdr>
                                                <w:top w:val="none" w:sz="0" w:space="0" w:color="auto"/>
                                                <w:left w:val="none" w:sz="0" w:space="0" w:color="auto"/>
                                                <w:bottom w:val="none" w:sz="0" w:space="0" w:color="auto"/>
                                                <w:right w:val="none" w:sz="0" w:space="0" w:color="auto"/>
                                              </w:divBdr>
                                              <w:divsChild>
                                                <w:div w:id="441805773">
                                                  <w:marLeft w:val="0"/>
                                                  <w:marRight w:val="0"/>
                                                  <w:marTop w:val="0"/>
                                                  <w:marBottom w:val="0"/>
                                                  <w:divBdr>
                                                    <w:top w:val="none" w:sz="0" w:space="0" w:color="auto"/>
                                                    <w:left w:val="none" w:sz="0" w:space="0" w:color="auto"/>
                                                    <w:bottom w:val="none" w:sz="0" w:space="0" w:color="auto"/>
                                                    <w:right w:val="none" w:sz="0" w:space="0" w:color="auto"/>
                                                  </w:divBdr>
                                                  <w:divsChild>
                                                    <w:div w:id="1364746481">
                                                      <w:marLeft w:val="0"/>
                                                      <w:marRight w:val="0"/>
                                                      <w:marTop w:val="0"/>
                                                      <w:marBottom w:val="0"/>
                                                      <w:divBdr>
                                                        <w:top w:val="none" w:sz="0" w:space="0" w:color="auto"/>
                                                        <w:left w:val="none" w:sz="0" w:space="0" w:color="auto"/>
                                                        <w:bottom w:val="none" w:sz="0" w:space="0" w:color="auto"/>
                                                        <w:right w:val="none" w:sz="0" w:space="0" w:color="auto"/>
                                                      </w:divBdr>
                                                      <w:divsChild>
                                                        <w:div w:id="2051610127">
                                                          <w:marLeft w:val="0"/>
                                                          <w:marRight w:val="0"/>
                                                          <w:marTop w:val="0"/>
                                                          <w:marBottom w:val="0"/>
                                                          <w:divBdr>
                                                            <w:top w:val="none" w:sz="0" w:space="0" w:color="auto"/>
                                                            <w:left w:val="none" w:sz="0" w:space="0" w:color="auto"/>
                                                            <w:bottom w:val="none" w:sz="0" w:space="0" w:color="auto"/>
                                                            <w:right w:val="none" w:sz="0" w:space="0" w:color="auto"/>
                                                          </w:divBdr>
                                                          <w:divsChild>
                                                            <w:div w:id="1730152682">
                                                              <w:marLeft w:val="0"/>
                                                              <w:marRight w:val="0"/>
                                                              <w:marTop w:val="0"/>
                                                              <w:marBottom w:val="0"/>
                                                              <w:divBdr>
                                                                <w:top w:val="none" w:sz="0" w:space="0" w:color="auto"/>
                                                                <w:left w:val="none" w:sz="0" w:space="0" w:color="auto"/>
                                                                <w:bottom w:val="none" w:sz="0" w:space="0" w:color="auto"/>
                                                                <w:right w:val="none" w:sz="0" w:space="0" w:color="auto"/>
                                                              </w:divBdr>
                                                              <w:divsChild>
                                                                <w:div w:id="1829862585">
                                                                  <w:marLeft w:val="0"/>
                                                                  <w:marRight w:val="0"/>
                                                                  <w:marTop w:val="0"/>
                                                                  <w:marBottom w:val="285"/>
                                                                  <w:divBdr>
                                                                    <w:top w:val="none" w:sz="0" w:space="0" w:color="auto"/>
                                                                    <w:left w:val="none" w:sz="0" w:space="0" w:color="auto"/>
                                                                    <w:bottom w:val="none" w:sz="0" w:space="0" w:color="auto"/>
                                                                    <w:right w:val="none" w:sz="0" w:space="0" w:color="auto"/>
                                                                  </w:divBdr>
                                                                  <w:divsChild>
                                                                    <w:div w:id="1844199935">
                                                                      <w:marLeft w:val="0"/>
                                                                      <w:marRight w:val="0"/>
                                                                      <w:marTop w:val="0"/>
                                                                      <w:marBottom w:val="0"/>
                                                                      <w:divBdr>
                                                                        <w:top w:val="none" w:sz="0" w:space="0" w:color="auto"/>
                                                                        <w:left w:val="none" w:sz="0" w:space="0" w:color="auto"/>
                                                                        <w:bottom w:val="none" w:sz="0" w:space="0" w:color="auto"/>
                                                                        <w:right w:val="none" w:sz="0" w:space="0" w:color="auto"/>
                                                                      </w:divBdr>
                                                                      <w:divsChild>
                                                                        <w:div w:id="8462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578126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cations.qld.gov.au/dataset/apprenticeship-and-traineeship-operational-policies-and-procedures/resource/42f58c42-024b-488f-ae92-c040c4dd4bf7" TargetMode="External"/><Relationship Id="rId18" Type="http://schemas.openxmlformats.org/officeDocument/2006/relationships/hyperlink" Target="https://desbt.qld.gov.au/training/apprentices/resources/information-sheets/is7" TargetMode="External"/><Relationship Id="rId26" Type="http://schemas.openxmlformats.org/officeDocument/2006/relationships/hyperlink" Target="https://desbt.qld.gov.au/training/providers/funded/userchoice/pricing" TargetMode="External"/><Relationship Id="rId3" Type="http://schemas.openxmlformats.org/officeDocument/2006/relationships/customXml" Target="../customXml/item3.xml"/><Relationship Id="rId21" Type="http://schemas.openxmlformats.org/officeDocument/2006/relationships/hyperlink" Target="https://www.publications.qld.gov.au/dataset/apprenticeship-and-traineeship-operational-policies-and-procedures/resource/42f58c42-024b-488f-ae92-c040c4dd4bf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esbt.qld.gov.au/training/apprentices/resources/information-sheets/is26" TargetMode="External"/><Relationship Id="rId17" Type="http://schemas.openxmlformats.org/officeDocument/2006/relationships/hyperlink" Target="http://www.qtis.training.qld.gov.au/" TargetMode="External"/><Relationship Id="rId25" Type="http://schemas.openxmlformats.org/officeDocument/2006/relationships/hyperlink" Target="https://desbt.qld.gov.au/training/apprentices/resources/information-sheets/is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caa.qld.edu.au/senior/certificates-and-qualifications/qce-qcia-handbook/2-qce/2.2-categories-of-learning" TargetMode="External"/><Relationship Id="rId20" Type="http://schemas.openxmlformats.org/officeDocument/2006/relationships/hyperlink" Target="https://www.humanservices.gov.au/organisations/business/services/centrelink/disabled-australian-apprentice-wage-support-program" TargetMode="External"/><Relationship Id="rId29" Type="http://schemas.openxmlformats.org/officeDocument/2006/relationships/hyperlink" Target="https://ppr.mpe.qed.qld.gov.au/attachment/travel-and-accommodation-financial-assistance-informa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training/apprentices/about" TargetMode="External"/><Relationship Id="rId24" Type="http://schemas.openxmlformats.org/officeDocument/2006/relationships/hyperlink" Target="https://trainingombudsman.qld.gov.au/contac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sbt.qld.gov.au/training/apprentices/sats" TargetMode="External"/><Relationship Id="rId23" Type="http://schemas.openxmlformats.org/officeDocument/2006/relationships/hyperlink" Target="https://www.publications.qld.gov.au/dataset/apprenticeship-and-traineeship-operational-policies-and-procedures/resource/42f58c42-024b-488f-ae92-c040c4dd4bf7" TargetMode="External"/><Relationship Id="rId28" Type="http://schemas.openxmlformats.org/officeDocument/2006/relationships/hyperlink" Target="https://desbt.qld.gov.au/training/providers/funded/userchoice" TargetMode="External"/><Relationship Id="rId10" Type="http://schemas.openxmlformats.org/officeDocument/2006/relationships/endnotes" Target="endnotes.xml"/><Relationship Id="rId19" Type="http://schemas.openxmlformats.org/officeDocument/2006/relationships/hyperlink" Target="https://ppr.mpe.qed.qld.gov.au/attachment/tutorial-assistance-information-for-students-with-additional-educational-needs.docx" TargetMode="External"/><Relationship Id="rId31" Type="http://schemas.openxmlformats.org/officeDocument/2006/relationships/hyperlink" Target="http://www.qtis.training.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tis.training.qld.gov.au/Qualification/Details?modelCode=UEE30811&amp;version=0&amp;trainingCatalogNumber=20761" TargetMode="External"/><Relationship Id="rId22" Type="http://schemas.openxmlformats.org/officeDocument/2006/relationships/hyperlink" Target="https://www.publications.qld.gov.au/dataset/apprenticeship-and-traineeship-operational-policies-and-procedures/resource/42f58c42-024b-488f-ae92-c040c4dd4bf7" TargetMode="External"/><Relationship Id="rId27" Type="http://schemas.openxmlformats.org/officeDocument/2006/relationships/hyperlink" Target="https://desbt.qld.gov.au/training/providers/funded/userchoice" TargetMode="External"/><Relationship Id="rId30" Type="http://schemas.openxmlformats.org/officeDocument/2006/relationships/hyperlink" Target="https://www.publications.qld.gov.au/dataset/apprenticeship-and-traineeship-operational-policies-and-procedures/resource/42f58c42-024b-488f-ae92-c040c4dd4bf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chool-based-apprenticeships-and-traineeships-procedur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HPRMRecordNumber xmlns="http://schemas.microsoft.com/sharepoint/v3">20/705881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2024-04-12T05:45:06+00:00</PPSubmittedDate>
    <PPRRiskcontrol xmlns="http://schemas.microsoft.com/sharepoint/v3">false</PPRRiskcontrol>
    <PPRHierarchyID xmlns="http://schemas.microsoft.com/sharepoint/v3" xsi:nil="true"/>
    <PPRBranch xmlns="http://schemas.microsoft.com/sharepoint/v3">Schools and Student Support</PPRBranch>
    <PPRDescription xmlns="http://schemas.microsoft.com/sharepoint/v3">Frequently asked questions about state school-based apprenticeships and traineeships</PPRDescription>
    <PPRVersionEffectiveDate xmlns="http://schemas.microsoft.com/sharepoint/v3" xsi:nil="true"/>
    <PPLastReviewedBy xmlns="16795be8-4374-4e44-895d-be6cdbab3e2c">
      <UserInfo>
        <DisplayName>System Account</DisplayName>
        <AccountId>1073741823</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2024-04-14T22:00:13+00:00</PPLastReviewedDate>
    <PPContentAuthor xmlns="16795be8-4374-4e44-895d-be6cdbab3e2c">
      <UserInfo>
        <DisplayName/>
        <AccountId xsi:nil="true"/>
        <AccountType/>
      </UserInfo>
    </PPContentAuthor>
    <PPModeratedDate xmlns="16795be8-4374-4e44-895d-be6cdbab3e2c">2024-04-14T22:00:13+00:00</PPModeratedDate>
    <PPRBusinessUnit xmlns="http://schemas.microsoft.com/sharepoint/v3">Curriculum, Teaching and Learning, Senior Schooling</PPRBusinessUnit>
    <PPRIsUpdatesPage xmlns="http://schemas.microsoft.com/sharepoint/v3">false</PPRIsUpdatesPage>
    <PPRContentType xmlns="http://schemas.microsoft.com/sharepoint/v3">Supporting information</PPRContentType>
    <PPRHPRMUpdateDate xmlns="http://schemas.microsoft.com/sharepoint/v3">2024-01-23T00:47:39+00:00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GILLAM, Maddison</DisplayName>
        <AccountId>19895</AccountId>
        <AccountType/>
      </UserInfo>
    </PPContentOwner>
    <PPRContentAuthor xmlns="http://schemas.microsoft.com/sharepoint/v3">Leanne Hixon EOSD</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2024-04-14T22:00:00+00:00</PublishingStartDate>
    <PPRContentOwner xmlns="http://schemas.microsoft.com/sharepoint/v3">DDG, Schools &amp; Student Support</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System Account</DisplayName>
        <AccountId>1073741823</AccountId>
        <AccountType/>
      </UserInfo>
    </PPModeratedBy>
    <PPRHPRMRevisionNumber xmlns="http://schemas.microsoft.com/sharepoint/v3">5</PPRHPRMRevisionNumber>
    <PPRKeywords xmlns="http://schemas.microsoft.com/sharepoint/v3">SAT; SATs, VET; ETES; trainee; training, employment, school studies, apprentice; vocational training; vocational qualification; school-based; apprenticeship; traineeship; SRTO;</PPRKeywords>
    <PPRPublishedDate xmlns="http://schemas.microsoft.com/sharepoint/v3" xsi:nil="true"/>
    <PPRStatus xmlns="http://schemas.microsoft.com/sharepoint/v3" xsi:nil="true"/>
    <PPRRisknumber xmlns="http://schemas.microsoft.com/sharepoint/v3" xsi:nil="true"/>
    <PPRAttachmentParent xmlns="http://schemas.microsoft.com/sharepoint/v3">20/702506</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1DCC9-593E-4D69-A2F5-EF71D5622C8F}">
  <ds:schemaRefs>
    <ds:schemaRef ds:uri="http://purl.org/dc/dcmitype/"/>
    <ds:schemaRef ds:uri="http://schemas.openxmlformats.org/package/2006/metadata/core-properties"/>
    <ds:schemaRef ds:uri="9ef43965-925b-40f6-84ce-7fafee0af506"/>
    <ds:schemaRef ds:uri="http://schemas.microsoft.com/office/infopath/2007/PartnerControls"/>
    <ds:schemaRef ds:uri="3da2207c-235c-4afe-8754-61fa3b9e3d3d"/>
    <ds:schemaRef ds:uri="http://schemas.microsoft.com/office/2006/metadata/properties"/>
    <ds:schemaRef ds:uri="http://purl.org/dc/term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B834372-40A9-4E62-A0F9-D3F406CCCF99}"/>
</file>

<file path=customXml/itemProps3.xml><?xml version="1.0" encoding="utf-8"?>
<ds:datastoreItem xmlns:ds="http://schemas.openxmlformats.org/officeDocument/2006/customXml" ds:itemID="{B62B3EA2-F447-4590-AB84-DD43982E2962}">
  <ds:schemaRefs>
    <ds:schemaRef ds:uri="http://schemas.openxmlformats.org/officeDocument/2006/bibliography"/>
  </ds:schemaRefs>
</ds:datastoreItem>
</file>

<file path=customXml/itemProps4.xml><?xml version="1.0" encoding="utf-8"?>
<ds:datastoreItem xmlns:ds="http://schemas.openxmlformats.org/officeDocument/2006/customXml" ds:itemID="{3DB7E18A-5D88-4204-8B98-B95B7CE4F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DoE A4 page landscape</vt:lpstr>
    </vt:vector>
  </TitlesOfParts>
  <Company>Queensland Government</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state school-based apprenticeships and traineeships</dc:title>
  <dc:subject/>
  <dc:creator>FIDLER, Julie</dc:creator>
  <cp:keywords>DoE A4 page landscape; DoE generic;</cp:keywords>
  <dc:description/>
  <cp:lastModifiedBy>HIXON, Leanne</cp:lastModifiedBy>
  <cp:revision>6</cp:revision>
  <cp:lastPrinted>2019-09-18T01:58:00Z</cp:lastPrinted>
  <dcterms:created xsi:type="dcterms:W3CDTF">2023-10-04T22:55:00Z</dcterms:created>
  <dcterms:modified xsi:type="dcterms:W3CDTF">2024-01-23T00:47:00Z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Order">
    <vt:r8>19400</vt:r8>
  </property>
</Properties>
</file>