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F397" w14:textId="17E130CB" w:rsidR="00404BCA" w:rsidRDefault="0007015D" w:rsidP="00B75358">
      <w:pPr>
        <w:pStyle w:val="Heading1"/>
        <w:spacing w:before="240" w:line="276" w:lineRule="auto"/>
        <w:rPr>
          <w:sz w:val="44"/>
          <w:szCs w:val="44"/>
        </w:rPr>
      </w:pPr>
      <w:r>
        <w:rPr>
          <w:noProof/>
          <w:sz w:val="40"/>
          <w:szCs w:val="44"/>
        </w:rPr>
        <mc:AlternateContent>
          <mc:Choice Requires="wps">
            <w:drawing>
              <wp:anchor distT="0" distB="0" distL="114300" distR="114300" simplePos="0" relativeHeight="251659264" behindDoc="0" locked="0" layoutInCell="1" allowOverlap="1" wp14:anchorId="35198DF3" wp14:editId="6EB446B5">
                <wp:simplePos x="0" y="0"/>
                <wp:positionH relativeFrom="column">
                  <wp:posOffset>3775710</wp:posOffset>
                </wp:positionH>
                <wp:positionV relativeFrom="paragraph">
                  <wp:posOffset>-641985</wp:posOffset>
                </wp:positionV>
                <wp:extent cx="2828925" cy="247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28925" cy="247650"/>
                        </a:xfrm>
                        <a:prstGeom prst="rect">
                          <a:avLst/>
                        </a:prstGeom>
                        <a:noFill/>
                        <a:ln w="6350">
                          <a:noFill/>
                        </a:ln>
                      </wps:spPr>
                      <wps:txbx>
                        <w:txbxContent>
                          <w:p w14:paraId="779BACB5" w14:textId="77777777" w:rsidR="0007015D" w:rsidRPr="008F1B11" w:rsidRDefault="0007015D" w:rsidP="008F1B11">
                            <w:pPr>
                              <w:spacing w:after="0" w:line="240" w:lineRule="auto"/>
                              <w:ind w:right="-716"/>
                              <w:rPr>
                                <w:color w:val="FFFFFF" w:themeColor="background1"/>
                                <w:sz w:val="20"/>
                                <w:szCs w:val="20"/>
                              </w:rPr>
                            </w:pPr>
                            <w:r w:rsidRPr="008F1B11">
                              <w:rPr>
                                <w:color w:val="FFFFFF" w:themeColor="background1"/>
                                <w:sz w:val="20"/>
                                <w:szCs w:val="20"/>
                              </w:rPr>
                              <w:t>Organisational Safety and Wellbeing</w:t>
                            </w:r>
                          </w:p>
                          <w:p w14:paraId="2DC3DDF6" w14:textId="77777777" w:rsidR="0007015D" w:rsidRDefault="0007015D" w:rsidP="008F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98DF3" id="_x0000_t202" coordsize="21600,21600" o:spt="202" path="m,l,21600r21600,l21600,xe">
                <v:stroke joinstyle="miter"/>
                <v:path gradientshapeok="t" o:connecttype="rect"/>
              </v:shapetype>
              <v:shape id="Text Box 24" o:spid="_x0000_s1026" type="#_x0000_t202" style="position:absolute;margin-left:297.3pt;margin-top:-50.55pt;width:222.7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" filled="f" stroked="f" strokeweight=".5pt">
                <v:textbox>
                  <w:txbxContent>
                    <w:p w14:paraId="779BACB5" w14:textId="77777777" w:rsidR="0007015D" w:rsidRPr="008F1B11" w:rsidRDefault="0007015D" w:rsidP="008F1B11">
                      <w:pPr>
                        <w:spacing w:after="0" w:line="240" w:lineRule="auto"/>
                        <w:ind w:right="-716"/>
                        <w:rPr>
                          <w:color w:val="FFFFFF" w:themeColor="background1"/>
                          <w:sz w:val="20"/>
                          <w:szCs w:val="20"/>
                        </w:rPr>
                      </w:pPr>
                      <w:r w:rsidRPr="008F1B11">
                        <w:rPr>
                          <w:color w:val="FFFFFF" w:themeColor="background1"/>
                          <w:sz w:val="20"/>
                          <w:szCs w:val="20"/>
                        </w:rPr>
                        <w:t>Organisational Safety and Wellbeing</w:t>
                      </w:r>
                    </w:p>
                    <w:p w14:paraId="2DC3DDF6" w14:textId="77777777" w:rsidR="0007015D" w:rsidRDefault="0007015D" w:rsidP="008F1B11"/>
                  </w:txbxContent>
                </v:textbox>
              </v:shape>
            </w:pict>
          </mc:Fallback>
        </mc:AlternateContent>
      </w:r>
      <w:r w:rsidR="003C5628" w:rsidRPr="003C5628">
        <w:rPr>
          <w:sz w:val="40"/>
          <w:szCs w:val="44"/>
        </w:rPr>
        <w:t xml:space="preserve">Fact sheet: </w:t>
      </w:r>
      <w:r w:rsidR="00456B43">
        <w:rPr>
          <w:sz w:val="40"/>
          <w:szCs w:val="44"/>
        </w:rPr>
        <w:t xml:space="preserve">Funding </w:t>
      </w:r>
      <w:r w:rsidR="00C14DAD">
        <w:rPr>
          <w:sz w:val="40"/>
          <w:szCs w:val="44"/>
        </w:rPr>
        <w:t>r</w:t>
      </w:r>
      <w:r w:rsidR="00DD5171" w:rsidRPr="003C5628">
        <w:rPr>
          <w:sz w:val="40"/>
          <w:szCs w:val="44"/>
        </w:rPr>
        <w:t>eas</w:t>
      </w:r>
      <w:r w:rsidR="00A62251" w:rsidRPr="003C5628">
        <w:rPr>
          <w:sz w:val="40"/>
          <w:szCs w:val="44"/>
        </w:rPr>
        <w:t xml:space="preserve">onable </w:t>
      </w:r>
      <w:r w:rsidR="00C14DAD">
        <w:rPr>
          <w:sz w:val="40"/>
          <w:szCs w:val="44"/>
        </w:rPr>
        <w:t>a</w:t>
      </w:r>
      <w:r w:rsidR="00A62251" w:rsidRPr="003C5628">
        <w:rPr>
          <w:sz w:val="40"/>
          <w:szCs w:val="44"/>
        </w:rPr>
        <w:t>djustment</w:t>
      </w:r>
      <w:r w:rsidR="00456B43">
        <w:rPr>
          <w:sz w:val="40"/>
          <w:szCs w:val="44"/>
        </w:rPr>
        <w:t>s</w:t>
      </w:r>
    </w:p>
    <w:p w14:paraId="7CAD9F60" w14:textId="7BB3D8AC" w:rsidR="007C61F2" w:rsidRPr="002F1261" w:rsidRDefault="007C61F2" w:rsidP="00AD169A">
      <w:pPr>
        <w:widowControl w:val="0"/>
        <w:spacing w:after="0" w:line="240" w:lineRule="auto"/>
        <w:rPr>
          <w:rFonts w:cs="Arial"/>
          <w:i/>
          <w:sz w:val="18"/>
          <w:szCs w:val="20"/>
        </w:rPr>
      </w:pPr>
      <w:r w:rsidRPr="002F1261">
        <w:rPr>
          <w:rFonts w:cs="Arial"/>
          <w:i/>
          <w:sz w:val="18"/>
          <w:szCs w:val="20"/>
        </w:rPr>
        <w:t>This fa</w:t>
      </w:r>
      <w:r>
        <w:rPr>
          <w:rFonts w:cs="Arial"/>
          <w:i/>
          <w:sz w:val="18"/>
          <w:szCs w:val="20"/>
        </w:rPr>
        <w:t>ct sheet should be read in conjun</w:t>
      </w:r>
      <w:r w:rsidRPr="002F1261">
        <w:rPr>
          <w:rFonts w:cs="Arial"/>
          <w:i/>
          <w:sz w:val="18"/>
          <w:szCs w:val="20"/>
        </w:rPr>
        <w:t xml:space="preserve">ction with the </w:t>
      </w:r>
      <w:hyperlink r:id="rId11" w:history="1">
        <w:r w:rsidRPr="00D45B17">
          <w:rPr>
            <w:rStyle w:val="Hyperlink"/>
            <w:rFonts w:cs="Arial"/>
            <w:i/>
            <w:sz w:val="18"/>
            <w:szCs w:val="20"/>
          </w:rPr>
          <w:t xml:space="preserve">Reasonable </w:t>
        </w:r>
        <w:r w:rsidR="00C14DAD" w:rsidRPr="00D45B17">
          <w:rPr>
            <w:rStyle w:val="Hyperlink"/>
            <w:rFonts w:cs="Arial"/>
            <w:i/>
            <w:sz w:val="18"/>
            <w:szCs w:val="20"/>
          </w:rPr>
          <w:t>a</w:t>
        </w:r>
        <w:r w:rsidRPr="00D45B17">
          <w:rPr>
            <w:rStyle w:val="Hyperlink"/>
            <w:rFonts w:cs="Arial"/>
            <w:i/>
            <w:sz w:val="18"/>
            <w:szCs w:val="20"/>
          </w:rPr>
          <w:t>djustment</w:t>
        </w:r>
        <w:r w:rsidR="004611ED" w:rsidRPr="00D45B17">
          <w:rPr>
            <w:rStyle w:val="Hyperlink"/>
            <w:rFonts w:cs="Arial"/>
            <w:i/>
            <w:sz w:val="18"/>
            <w:szCs w:val="20"/>
          </w:rPr>
          <w:t>s</w:t>
        </w:r>
      </w:hyperlink>
      <w:r w:rsidRPr="002F1261">
        <w:rPr>
          <w:rFonts w:cs="Arial"/>
          <w:i/>
          <w:sz w:val="18"/>
          <w:szCs w:val="20"/>
        </w:rPr>
        <w:t xml:space="preserve"> </w:t>
      </w:r>
      <w:r>
        <w:rPr>
          <w:rFonts w:cs="Arial"/>
          <w:i/>
          <w:sz w:val="18"/>
          <w:szCs w:val="20"/>
        </w:rPr>
        <w:t>p</w:t>
      </w:r>
      <w:r w:rsidRPr="002F1261">
        <w:rPr>
          <w:rFonts w:cs="Arial"/>
          <w:i/>
          <w:sz w:val="18"/>
          <w:szCs w:val="20"/>
        </w:rPr>
        <w:t>rocedure</w:t>
      </w:r>
    </w:p>
    <w:p w14:paraId="2BC81692" w14:textId="77777777" w:rsidR="007C61F2" w:rsidRPr="00AD169A" w:rsidRDefault="007C61F2" w:rsidP="00AD169A">
      <w:pPr>
        <w:spacing w:line="240" w:lineRule="auto"/>
        <w:rPr>
          <w:sz w:val="16"/>
          <w:szCs w:val="16"/>
        </w:rPr>
      </w:pPr>
    </w:p>
    <w:p w14:paraId="361699B5" w14:textId="77777777" w:rsidR="00240D5F" w:rsidRPr="00AD169A" w:rsidRDefault="00240D5F" w:rsidP="00AD169A">
      <w:pPr>
        <w:spacing w:line="240" w:lineRule="auto"/>
        <w:rPr>
          <w:sz w:val="16"/>
          <w:szCs w:val="16"/>
          <w:lang w:eastAsia="en-AU"/>
        </w:rPr>
        <w:sectPr w:rsidR="00240D5F" w:rsidRPr="00AD169A" w:rsidSect="0007015D">
          <w:headerReference w:type="default" r:id="rId12"/>
          <w:footerReference w:type="default" r:id="rId13"/>
          <w:footerReference w:type="first" r:id="rId14"/>
          <w:pgSz w:w="11900" w:h="16840" w:code="9"/>
          <w:pgMar w:top="1701" w:right="1134" w:bottom="851" w:left="1134" w:header="0" w:footer="709" w:gutter="0"/>
          <w:cols w:space="708"/>
          <w:docGrid w:linePitch="360"/>
        </w:sectPr>
      </w:pPr>
    </w:p>
    <w:p w14:paraId="1C139736" w14:textId="77777777" w:rsidR="00456B43" w:rsidRPr="003E3911" w:rsidRDefault="00456B43" w:rsidP="004E1CC0">
      <w:pPr>
        <w:spacing w:line="300" w:lineRule="exact"/>
        <w:rPr>
          <w:rFonts w:cs="Arial"/>
          <w:b/>
          <w:bCs/>
          <w:color w:val="00B0F0"/>
          <w:lang w:val="en-US"/>
        </w:rPr>
      </w:pPr>
      <w:r w:rsidRPr="004E1CC0">
        <w:rPr>
          <w:rFonts w:cs="Arial"/>
          <w:b/>
          <w:bCs/>
          <w:color w:val="00B0F0"/>
          <w:lang w:eastAsia="zh-TW"/>
        </w:rPr>
        <w:t>Funding</w:t>
      </w:r>
      <w:r>
        <w:rPr>
          <w:rFonts w:cs="Arial"/>
          <w:b/>
          <w:bCs/>
          <w:color w:val="00B0F0"/>
          <w:lang w:val="en-US"/>
        </w:rPr>
        <w:t xml:space="preserve"> reasonable adjustments</w:t>
      </w:r>
    </w:p>
    <w:p w14:paraId="369CC005" w14:textId="77777777" w:rsidR="00456B43" w:rsidRDefault="00456B43" w:rsidP="0029530F">
      <w:pPr>
        <w:spacing w:line="280" w:lineRule="exact"/>
        <w:rPr>
          <w:rFonts w:cs="Arial"/>
          <w:sz w:val="20"/>
        </w:rPr>
      </w:pPr>
      <w:r>
        <w:rPr>
          <w:rFonts w:cs="Arial"/>
          <w:sz w:val="20"/>
        </w:rPr>
        <w:t>Many reasonable adjustments are minor changes to the work environment (for example, using a footstool</w:t>
      </w:r>
      <w:r w:rsidR="00F43663">
        <w:rPr>
          <w:rFonts w:cs="Arial"/>
          <w:sz w:val="20"/>
        </w:rPr>
        <w:t>)</w:t>
      </w:r>
      <w:r>
        <w:rPr>
          <w:rFonts w:cs="Arial"/>
          <w:sz w:val="20"/>
        </w:rPr>
        <w:t xml:space="preserve"> or a change to how an employee performs their role (for example, taking regular breaks; changes to work hours). More expensive adjustments may include the purchase of specialist equipment or major changes to the work environment to increase accessibility.</w:t>
      </w:r>
    </w:p>
    <w:p w14:paraId="367F4BA5" w14:textId="77777777" w:rsidR="00456B43" w:rsidRDefault="00456B43" w:rsidP="0029530F">
      <w:pPr>
        <w:spacing w:line="280" w:lineRule="exact"/>
        <w:rPr>
          <w:rFonts w:cs="Arial"/>
          <w:sz w:val="20"/>
        </w:rPr>
      </w:pPr>
      <w:r w:rsidRPr="00456B43">
        <w:rPr>
          <w:rFonts w:cs="Arial"/>
          <w:sz w:val="20"/>
        </w:rPr>
        <w:t>The employer, should where it is necessary and reasonably practicable to do so, make modifications and adjustments to the workplace or the role to meet the individual needs of an employee</w:t>
      </w:r>
      <w:r w:rsidR="00F43663">
        <w:rPr>
          <w:rFonts w:cs="Arial"/>
          <w:sz w:val="20"/>
        </w:rPr>
        <w:t>.</w:t>
      </w:r>
    </w:p>
    <w:p w14:paraId="4C85CBE3" w14:textId="77777777" w:rsidR="004E1CC0" w:rsidRPr="003E3911" w:rsidRDefault="004E1CC0" w:rsidP="004E1CC0">
      <w:pPr>
        <w:spacing w:line="300" w:lineRule="exact"/>
        <w:rPr>
          <w:rFonts w:cs="Arial"/>
          <w:b/>
          <w:bCs/>
          <w:color w:val="00B0F0"/>
          <w:lang w:val="en-US"/>
        </w:rPr>
      </w:pPr>
      <w:r>
        <w:rPr>
          <w:rFonts w:cs="Arial"/>
          <w:b/>
          <w:bCs/>
          <w:color w:val="00B0F0"/>
          <w:lang w:val="en-US"/>
        </w:rPr>
        <w:t xml:space="preserve">It has been </w:t>
      </w:r>
      <w:r w:rsidRPr="004E1CC0">
        <w:rPr>
          <w:rFonts w:cs="Arial"/>
          <w:b/>
          <w:bCs/>
          <w:color w:val="00B0F0"/>
          <w:lang w:eastAsia="zh-TW"/>
        </w:rPr>
        <w:t>determined</w:t>
      </w:r>
      <w:r>
        <w:rPr>
          <w:rFonts w:cs="Arial"/>
          <w:b/>
          <w:bCs/>
          <w:color w:val="00B0F0"/>
          <w:lang w:val="en-US"/>
        </w:rPr>
        <w:t xml:space="preserve"> that an employee in my work unit/school requires a reasonable adjustment. Who funds the adjustment?</w:t>
      </w:r>
    </w:p>
    <w:p w14:paraId="43EBA03A" w14:textId="77777777" w:rsidR="004E1CC0" w:rsidRDefault="004E1CC0" w:rsidP="0029530F">
      <w:pPr>
        <w:spacing w:line="280" w:lineRule="exact"/>
        <w:rPr>
          <w:rFonts w:cs="Arial"/>
          <w:sz w:val="20"/>
        </w:rPr>
      </w:pPr>
      <w:r>
        <w:rPr>
          <w:rFonts w:cs="Arial"/>
          <w:sz w:val="20"/>
        </w:rPr>
        <w:t>Wherever possible, the reasonable adjustment is funded through the local bud</w:t>
      </w:r>
      <w:r w:rsidR="007946C9">
        <w:rPr>
          <w:rFonts w:cs="Arial"/>
          <w:sz w:val="20"/>
        </w:rPr>
        <w:t>get of the work unit or school.</w:t>
      </w:r>
    </w:p>
    <w:p w14:paraId="416EA5F7" w14:textId="77777777" w:rsidR="004E1CC0" w:rsidRPr="001665E6" w:rsidRDefault="004E1CC0" w:rsidP="0029530F">
      <w:pPr>
        <w:spacing w:line="280" w:lineRule="exact"/>
        <w:rPr>
          <w:rFonts w:cs="Arial"/>
          <w:sz w:val="20"/>
        </w:rPr>
      </w:pPr>
      <w:r>
        <w:rPr>
          <w:rFonts w:cs="Arial"/>
          <w:sz w:val="20"/>
        </w:rPr>
        <w:t xml:space="preserve">The regional senior injury management consultant is able to provide advice to managers, principals or supervisors to help source alternative funding sources for reasonable adjustments within and </w:t>
      </w:r>
      <w:r w:rsidR="007946C9">
        <w:rPr>
          <w:rFonts w:cs="Arial"/>
          <w:sz w:val="20"/>
        </w:rPr>
        <w:t>external to</w:t>
      </w:r>
      <w:r>
        <w:rPr>
          <w:rFonts w:cs="Arial"/>
          <w:sz w:val="20"/>
        </w:rPr>
        <w:t xml:space="preserve"> the department.</w:t>
      </w:r>
    </w:p>
    <w:p w14:paraId="4CE1C6DA" w14:textId="77777777" w:rsidR="004E1CC0" w:rsidRDefault="004E1CC0" w:rsidP="0029530F">
      <w:pPr>
        <w:spacing w:line="280" w:lineRule="exact"/>
        <w:rPr>
          <w:rFonts w:cs="Arial"/>
          <w:sz w:val="20"/>
        </w:rPr>
      </w:pPr>
      <w:r>
        <w:rPr>
          <w:rFonts w:cs="Arial"/>
          <w:sz w:val="20"/>
        </w:rPr>
        <w:t>Alternative funding sources could include:</w:t>
      </w:r>
    </w:p>
    <w:p w14:paraId="0C967609" w14:textId="77777777" w:rsidR="004E1CC0" w:rsidRDefault="004E1CC0" w:rsidP="004E1CC0">
      <w:pPr>
        <w:pStyle w:val="ListParagraph"/>
        <w:widowControl w:val="0"/>
        <w:numPr>
          <w:ilvl w:val="0"/>
          <w:numId w:val="11"/>
        </w:numPr>
        <w:tabs>
          <w:tab w:val="clear" w:pos="2835"/>
        </w:tabs>
        <w:spacing w:after="60" w:line="276" w:lineRule="auto"/>
        <w:ind w:left="284" w:hanging="284"/>
        <w:contextualSpacing/>
        <w:jc w:val="both"/>
        <w:rPr>
          <w:rFonts w:cs="Arial"/>
          <w:sz w:val="20"/>
          <w:lang w:eastAsia="zh-TW"/>
        </w:rPr>
      </w:pPr>
      <w:r>
        <w:rPr>
          <w:rFonts w:cs="Arial"/>
          <w:sz w:val="20"/>
          <w:lang w:eastAsia="zh-TW"/>
        </w:rPr>
        <w:t>Commonwealth Government programs and initiatives</w:t>
      </w:r>
      <w:r w:rsidR="003C51CB">
        <w:rPr>
          <w:rFonts w:cs="Arial"/>
          <w:sz w:val="20"/>
          <w:lang w:eastAsia="zh-TW"/>
        </w:rPr>
        <w:t>, for example,</w:t>
      </w:r>
      <w:r w:rsidR="002C2CAB" w:rsidRPr="00464EA8">
        <w:rPr>
          <w:rFonts w:cs="Arial"/>
          <w:sz w:val="20"/>
          <w:lang w:eastAsia="zh-TW"/>
        </w:rPr>
        <w:t xml:space="preserve"> </w:t>
      </w:r>
      <w:proofErr w:type="spellStart"/>
      <w:r w:rsidR="002C2CAB" w:rsidRPr="00464EA8">
        <w:rPr>
          <w:rFonts w:cs="Arial"/>
          <w:sz w:val="20"/>
          <w:lang w:eastAsia="zh-TW"/>
        </w:rPr>
        <w:t>JobAccess</w:t>
      </w:r>
      <w:proofErr w:type="spellEnd"/>
      <w:r w:rsidR="003C51CB">
        <w:rPr>
          <w:rFonts w:cs="Arial"/>
          <w:sz w:val="20"/>
          <w:lang w:eastAsia="zh-TW"/>
        </w:rPr>
        <w:t>;</w:t>
      </w:r>
    </w:p>
    <w:p w14:paraId="033AECC6" w14:textId="77777777" w:rsidR="004E1CC0" w:rsidRPr="00CC79EF" w:rsidRDefault="004E1CC0" w:rsidP="004E1CC0">
      <w:pPr>
        <w:pStyle w:val="ListParagraph"/>
        <w:widowControl w:val="0"/>
        <w:numPr>
          <w:ilvl w:val="0"/>
          <w:numId w:val="11"/>
        </w:numPr>
        <w:tabs>
          <w:tab w:val="clear" w:pos="2835"/>
        </w:tabs>
        <w:spacing w:after="60" w:line="276" w:lineRule="auto"/>
        <w:ind w:left="284" w:hanging="284"/>
        <w:contextualSpacing/>
        <w:jc w:val="both"/>
        <w:rPr>
          <w:rFonts w:cs="Arial"/>
          <w:sz w:val="20"/>
          <w:lang w:eastAsia="zh-TW"/>
        </w:rPr>
      </w:pPr>
      <w:r w:rsidRPr="00CC79EF">
        <w:rPr>
          <w:rFonts w:cs="Arial"/>
          <w:sz w:val="20"/>
          <w:lang w:eastAsia="zh-TW"/>
        </w:rPr>
        <w:t>Local government or</w:t>
      </w:r>
      <w:r>
        <w:rPr>
          <w:rFonts w:cs="Arial"/>
          <w:sz w:val="20"/>
          <w:lang w:eastAsia="zh-TW"/>
        </w:rPr>
        <w:t xml:space="preserve"> o</w:t>
      </w:r>
      <w:r w:rsidRPr="00CC79EF">
        <w:rPr>
          <w:rFonts w:cs="Arial"/>
          <w:sz w:val="20"/>
          <w:lang w:eastAsia="zh-TW"/>
        </w:rPr>
        <w:t>ther state agencies’ programs and initiatives</w:t>
      </w:r>
      <w:r w:rsidR="003C51CB">
        <w:rPr>
          <w:rFonts w:cs="Arial"/>
          <w:sz w:val="20"/>
          <w:lang w:eastAsia="zh-TW"/>
        </w:rPr>
        <w:t>;</w:t>
      </w:r>
    </w:p>
    <w:p w14:paraId="069A0F92" w14:textId="77777777" w:rsidR="004E1CC0" w:rsidRDefault="004E1CC0" w:rsidP="004E1CC0">
      <w:pPr>
        <w:pStyle w:val="ListParagraph"/>
        <w:widowControl w:val="0"/>
        <w:numPr>
          <w:ilvl w:val="0"/>
          <w:numId w:val="11"/>
        </w:numPr>
        <w:tabs>
          <w:tab w:val="clear" w:pos="2835"/>
        </w:tabs>
        <w:spacing w:after="60" w:line="276" w:lineRule="auto"/>
        <w:ind w:left="284" w:hanging="284"/>
        <w:contextualSpacing/>
        <w:jc w:val="both"/>
        <w:rPr>
          <w:rFonts w:cs="Arial"/>
          <w:sz w:val="20"/>
          <w:lang w:eastAsia="zh-TW"/>
        </w:rPr>
      </w:pPr>
      <w:r>
        <w:rPr>
          <w:rFonts w:cs="Arial"/>
          <w:sz w:val="20"/>
          <w:lang w:eastAsia="zh-TW"/>
        </w:rPr>
        <w:t>Assistance from external organisations given to the employee</w:t>
      </w:r>
      <w:r w:rsidR="003C51CB">
        <w:rPr>
          <w:rFonts w:cs="Arial"/>
          <w:sz w:val="20"/>
          <w:lang w:eastAsia="zh-TW"/>
        </w:rPr>
        <w:t>; and</w:t>
      </w:r>
    </w:p>
    <w:p w14:paraId="5F540AE3" w14:textId="77777777" w:rsidR="004E1CC0" w:rsidRPr="00E434E9" w:rsidRDefault="004E1CC0" w:rsidP="004E1CC0">
      <w:pPr>
        <w:pStyle w:val="ListParagraph"/>
        <w:widowControl w:val="0"/>
        <w:numPr>
          <w:ilvl w:val="0"/>
          <w:numId w:val="11"/>
        </w:numPr>
        <w:tabs>
          <w:tab w:val="clear" w:pos="2835"/>
        </w:tabs>
        <w:spacing w:after="200" w:line="276" w:lineRule="auto"/>
        <w:ind w:left="284" w:hanging="284"/>
        <w:contextualSpacing/>
        <w:jc w:val="both"/>
        <w:rPr>
          <w:rFonts w:cs="Arial"/>
          <w:sz w:val="20"/>
          <w:lang w:eastAsia="zh-TW"/>
        </w:rPr>
      </w:pPr>
      <w:r w:rsidRPr="001665E6">
        <w:rPr>
          <w:rFonts w:cs="Arial"/>
          <w:sz w:val="20"/>
          <w:lang w:eastAsia="zh-TW"/>
        </w:rPr>
        <w:t>The department’s budget</w:t>
      </w:r>
      <w:r w:rsidR="00CC13DE">
        <w:rPr>
          <w:rFonts w:cs="Arial"/>
          <w:sz w:val="20"/>
          <w:lang w:eastAsia="zh-TW"/>
        </w:rPr>
        <w:t>.</w:t>
      </w:r>
    </w:p>
    <w:p w14:paraId="363295CD" w14:textId="77777777" w:rsidR="004E1CC0" w:rsidRPr="003E3911" w:rsidRDefault="004E1CC0" w:rsidP="004E1CC0">
      <w:pPr>
        <w:spacing w:line="300" w:lineRule="exact"/>
        <w:rPr>
          <w:rFonts w:cs="Arial"/>
          <w:b/>
          <w:bCs/>
          <w:color w:val="00B0F0"/>
        </w:rPr>
      </w:pPr>
      <w:r>
        <w:rPr>
          <w:rFonts w:cs="Arial"/>
          <w:b/>
          <w:bCs/>
          <w:color w:val="00B0F0"/>
          <w:lang w:eastAsia="zh-TW"/>
        </w:rPr>
        <w:t>What</w:t>
      </w:r>
      <w:r>
        <w:rPr>
          <w:rFonts w:cs="Arial"/>
          <w:b/>
          <w:bCs/>
          <w:color w:val="00B0F0"/>
        </w:rPr>
        <w:t xml:space="preserve"> if we cannot fund the reasonable adjustment from our local budget or through alternative funding sources?</w:t>
      </w:r>
    </w:p>
    <w:p w14:paraId="4DA9A0E1" w14:textId="77777777" w:rsidR="004E1CC0" w:rsidRPr="004B5F11" w:rsidRDefault="004E1CC0" w:rsidP="0029530F">
      <w:pPr>
        <w:spacing w:line="280" w:lineRule="exact"/>
        <w:rPr>
          <w:rFonts w:cs="Arial"/>
          <w:sz w:val="20"/>
        </w:rPr>
      </w:pPr>
      <w:r>
        <w:rPr>
          <w:rFonts w:cs="Arial"/>
          <w:sz w:val="20"/>
        </w:rPr>
        <w:t xml:space="preserve">If the reasonable adjustment cannot be funded from the local budget and no alternative funding sources were identified, the regional senior injury management consultant will refer the request to the </w:t>
      </w:r>
      <w:r w:rsidR="00EB4B6E">
        <w:rPr>
          <w:rFonts w:cs="Arial"/>
          <w:sz w:val="20"/>
        </w:rPr>
        <w:t>Director</w:t>
      </w:r>
      <w:r>
        <w:rPr>
          <w:rFonts w:cs="Arial"/>
          <w:sz w:val="20"/>
        </w:rPr>
        <w:t xml:space="preserve"> HR </w:t>
      </w:r>
      <w:r w:rsidR="00EB4B6E">
        <w:rPr>
          <w:rFonts w:cs="Arial"/>
          <w:sz w:val="20"/>
        </w:rPr>
        <w:t>Business Partnering</w:t>
      </w:r>
      <w:r>
        <w:rPr>
          <w:rFonts w:cs="Arial"/>
          <w:sz w:val="20"/>
        </w:rPr>
        <w:t xml:space="preserve"> for consideration against the </w:t>
      </w:r>
      <w:r w:rsidRPr="00C523A3">
        <w:rPr>
          <w:rFonts w:cs="Arial"/>
          <w:sz w:val="20"/>
        </w:rPr>
        <w:t xml:space="preserve">criteria for </w:t>
      </w:r>
      <w:hyperlink r:id="rId15" w:history="1">
        <w:r w:rsidRPr="004E1CC0">
          <w:rPr>
            <w:rStyle w:val="Hyperlink"/>
            <w:sz w:val="20"/>
            <w:szCs w:val="20"/>
          </w:rPr>
          <w:t>unjustifiable hardship</w:t>
        </w:r>
      </w:hyperlink>
      <w:r w:rsidR="007946C9">
        <w:rPr>
          <w:rFonts w:cs="Arial"/>
          <w:sz w:val="20"/>
        </w:rPr>
        <w:t>.</w:t>
      </w:r>
    </w:p>
    <w:p w14:paraId="7F8DB58C" w14:textId="77777777" w:rsidR="001F51A5" w:rsidRDefault="004E1CC0" w:rsidP="0029530F">
      <w:pPr>
        <w:spacing w:line="280" w:lineRule="exact"/>
        <w:rPr>
          <w:rFonts w:cs="Arial"/>
          <w:sz w:val="20"/>
        </w:rPr>
      </w:pPr>
      <w:r>
        <w:rPr>
          <w:rFonts w:cs="Arial"/>
          <w:sz w:val="20"/>
        </w:rPr>
        <w:t>All d</w:t>
      </w:r>
      <w:r w:rsidRPr="001665E6">
        <w:rPr>
          <w:rFonts w:cs="Arial"/>
          <w:sz w:val="20"/>
        </w:rPr>
        <w:t xml:space="preserve">ecisions to deny a reasonable adjustment on the grounds of </w:t>
      </w:r>
      <w:r>
        <w:rPr>
          <w:rFonts w:cs="Arial"/>
          <w:sz w:val="20"/>
        </w:rPr>
        <w:t>unjustifi</w:t>
      </w:r>
      <w:r w:rsidRPr="001665E6">
        <w:rPr>
          <w:rFonts w:cs="Arial"/>
          <w:sz w:val="20"/>
        </w:rPr>
        <w:t>able hardship will be reviewed by</w:t>
      </w:r>
      <w:r>
        <w:rPr>
          <w:rFonts w:cs="Arial"/>
          <w:sz w:val="20"/>
        </w:rPr>
        <w:t xml:space="preserve"> the </w:t>
      </w:r>
      <w:r w:rsidRPr="001665E6">
        <w:rPr>
          <w:rFonts w:cs="Arial"/>
          <w:sz w:val="20"/>
        </w:rPr>
        <w:t>Director</w:t>
      </w:r>
      <w:r w:rsidR="001F51A5">
        <w:rPr>
          <w:rFonts w:cs="Arial"/>
          <w:sz w:val="20"/>
        </w:rPr>
        <w:t xml:space="preserve"> Organisational Safety </w:t>
      </w:r>
      <w:r w:rsidR="003C51CB">
        <w:rPr>
          <w:rFonts w:cs="Arial"/>
          <w:sz w:val="20"/>
        </w:rPr>
        <w:t>and</w:t>
      </w:r>
      <w:r w:rsidR="001F51A5">
        <w:rPr>
          <w:rFonts w:cs="Arial"/>
          <w:sz w:val="20"/>
        </w:rPr>
        <w:t xml:space="preserve"> Wellbeing.</w:t>
      </w:r>
    </w:p>
    <w:p w14:paraId="7A7AA594" w14:textId="77777777" w:rsidR="00F43663" w:rsidRPr="00F43663" w:rsidRDefault="00F43663" w:rsidP="00F43663">
      <w:pPr>
        <w:spacing w:line="300" w:lineRule="exact"/>
        <w:rPr>
          <w:rFonts w:cs="Arial"/>
          <w:b/>
          <w:bCs/>
          <w:color w:val="00B0F0"/>
          <w:lang w:eastAsia="zh-TW"/>
        </w:rPr>
      </w:pPr>
      <w:r w:rsidRPr="00F43663">
        <w:rPr>
          <w:rFonts w:cs="Arial"/>
          <w:b/>
          <w:bCs/>
          <w:color w:val="00B0F0"/>
          <w:lang w:eastAsia="zh-TW"/>
        </w:rPr>
        <w:t>What are examples of when reasonable adjustment would not be considered reasonable?</w:t>
      </w:r>
    </w:p>
    <w:p w14:paraId="4E2F2A5B" w14:textId="77777777" w:rsidR="00F43663" w:rsidRPr="00F43663" w:rsidRDefault="00F43663" w:rsidP="007946C9">
      <w:pPr>
        <w:pStyle w:val="ListParagraph"/>
        <w:widowControl w:val="0"/>
        <w:numPr>
          <w:ilvl w:val="0"/>
          <w:numId w:val="12"/>
        </w:numPr>
        <w:tabs>
          <w:tab w:val="clear" w:pos="2835"/>
        </w:tabs>
        <w:spacing w:after="200" w:line="276" w:lineRule="auto"/>
        <w:contextualSpacing/>
        <w:rPr>
          <w:rFonts w:cs="Arial"/>
          <w:sz w:val="20"/>
        </w:rPr>
      </w:pPr>
      <w:r w:rsidRPr="00F43663">
        <w:rPr>
          <w:rFonts w:cs="Arial"/>
          <w:sz w:val="20"/>
        </w:rPr>
        <w:t>It imposes unjustifiable hardship on the employer</w:t>
      </w:r>
      <w:r w:rsidR="003C51CB">
        <w:rPr>
          <w:rFonts w:cs="Arial"/>
          <w:sz w:val="20"/>
        </w:rPr>
        <w:t>;</w:t>
      </w:r>
    </w:p>
    <w:p w14:paraId="0278CE30" w14:textId="77777777" w:rsidR="00F43663" w:rsidRPr="00F43663" w:rsidRDefault="00F43663" w:rsidP="007946C9">
      <w:pPr>
        <w:pStyle w:val="ListParagraph"/>
        <w:widowControl w:val="0"/>
        <w:numPr>
          <w:ilvl w:val="0"/>
          <w:numId w:val="12"/>
        </w:numPr>
        <w:tabs>
          <w:tab w:val="clear" w:pos="2835"/>
        </w:tabs>
        <w:spacing w:after="200" w:line="276" w:lineRule="auto"/>
        <w:contextualSpacing/>
        <w:rPr>
          <w:rFonts w:cs="Arial"/>
          <w:sz w:val="20"/>
        </w:rPr>
      </w:pPr>
      <w:r w:rsidRPr="00F43663">
        <w:rPr>
          <w:rFonts w:cs="Arial"/>
          <w:sz w:val="20"/>
        </w:rPr>
        <w:t>The employee would be unable to perform the inherent requirements of the role, even with reasonable adjustments</w:t>
      </w:r>
      <w:r w:rsidR="003C51CB">
        <w:rPr>
          <w:rFonts w:cs="Arial"/>
          <w:sz w:val="20"/>
        </w:rPr>
        <w:t>;</w:t>
      </w:r>
    </w:p>
    <w:p w14:paraId="6F8AB4D7" w14:textId="77777777" w:rsidR="00F43663" w:rsidRPr="00F43663" w:rsidRDefault="00F43663" w:rsidP="007946C9">
      <w:pPr>
        <w:pStyle w:val="ListParagraph"/>
        <w:widowControl w:val="0"/>
        <w:numPr>
          <w:ilvl w:val="0"/>
          <w:numId w:val="12"/>
        </w:numPr>
        <w:tabs>
          <w:tab w:val="clear" w:pos="2835"/>
        </w:tabs>
        <w:spacing w:after="200" w:line="276" w:lineRule="auto"/>
        <w:contextualSpacing/>
        <w:rPr>
          <w:rFonts w:cs="Arial"/>
          <w:sz w:val="20"/>
        </w:rPr>
      </w:pPr>
      <w:r w:rsidRPr="00F43663">
        <w:rPr>
          <w:rFonts w:cs="Arial"/>
          <w:sz w:val="20"/>
        </w:rPr>
        <w:t>It involves assigning inherent components of the  role to another employee</w:t>
      </w:r>
      <w:r w:rsidR="003C51CB">
        <w:rPr>
          <w:rFonts w:cs="Arial"/>
          <w:sz w:val="20"/>
        </w:rPr>
        <w:t>;</w:t>
      </w:r>
    </w:p>
    <w:p w14:paraId="37489F29" w14:textId="77777777" w:rsidR="00F43663" w:rsidRPr="00F43663" w:rsidRDefault="00F43663" w:rsidP="007946C9">
      <w:pPr>
        <w:pStyle w:val="ListParagraph"/>
        <w:widowControl w:val="0"/>
        <w:numPr>
          <w:ilvl w:val="0"/>
          <w:numId w:val="12"/>
        </w:numPr>
        <w:tabs>
          <w:tab w:val="clear" w:pos="2835"/>
        </w:tabs>
        <w:spacing w:after="200" w:line="276" w:lineRule="auto"/>
        <w:contextualSpacing/>
        <w:rPr>
          <w:rFonts w:cs="Arial"/>
          <w:sz w:val="20"/>
        </w:rPr>
      </w:pPr>
      <w:r w:rsidRPr="00F43663">
        <w:rPr>
          <w:rFonts w:cs="Arial"/>
          <w:sz w:val="20"/>
        </w:rPr>
        <w:t>It involves creating a new or different job.</w:t>
      </w:r>
    </w:p>
    <w:p w14:paraId="780EA675" w14:textId="77777777" w:rsidR="004E1CC0" w:rsidRDefault="004E1CC0" w:rsidP="004E1CC0">
      <w:pPr>
        <w:spacing w:line="300" w:lineRule="exact"/>
        <w:rPr>
          <w:rFonts w:cs="Arial"/>
          <w:b/>
          <w:bCs/>
          <w:color w:val="00B0F0"/>
          <w:lang w:val="en-US"/>
        </w:rPr>
      </w:pPr>
      <w:r>
        <w:rPr>
          <w:rFonts w:cs="Arial"/>
          <w:b/>
          <w:bCs/>
          <w:color w:val="00B0F0"/>
          <w:lang w:val="en-US"/>
        </w:rPr>
        <w:t>Employee’s requirement to provide medical information</w:t>
      </w:r>
    </w:p>
    <w:p w14:paraId="6514CA0B" w14:textId="77777777" w:rsidR="00456B43" w:rsidRDefault="00456B43" w:rsidP="0029530F">
      <w:pPr>
        <w:spacing w:line="280" w:lineRule="exact"/>
        <w:rPr>
          <w:rFonts w:cs="Arial"/>
          <w:sz w:val="20"/>
        </w:rPr>
      </w:pPr>
      <w:r>
        <w:rPr>
          <w:rFonts w:cs="Arial"/>
          <w:sz w:val="20"/>
        </w:rPr>
        <w:t>Employees should discuss the requirements of their role with their treating doctor to identify any restrictions they may have in the workplace. They should then provide this current medical advice to their manager, principal or supervisor to support their request for a reasonable adjustment. This is a personal health expense for the employee.</w:t>
      </w:r>
    </w:p>
    <w:p w14:paraId="6997E56E" w14:textId="77777777" w:rsidR="00456B43" w:rsidRPr="004A0614" w:rsidRDefault="00456B43" w:rsidP="0029530F">
      <w:pPr>
        <w:spacing w:line="280" w:lineRule="exact"/>
        <w:rPr>
          <w:rFonts w:cs="Arial"/>
          <w:sz w:val="20"/>
        </w:rPr>
      </w:pPr>
      <w:r>
        <w:rPr>
          <w:rFonts w:cs="Arial"/>
          <w:sz w:val="20"/>
        </w:rPr>
        <w:t xml:space="preserve">If a manager, principal or supervisor has any concerns about the restrictions claimed in the treating doctor’s medical advice or the reasonable adjustments request is potentially contentious, the manager, principal or supervisor should discuss the case with their </w:t>
      </w:r>
      <w:r w:rsidRPr="00464EA8">
        <w:rPr>
          <w:rFonts w:cs="Arial"/>
          <w:sz w:val="20"/>
        </w:rPr>
        <w:t xml:space="preserve">claims </w:t>
      </w:r>
      <w:r w:rsidR="00464EA8">
        <w:rPr>
          <w:rFonts w:cs="Arial"/>
          <w:sz w:val="20"/>
        </w:rPr>
        <w:t xml:space="preserve">management </w:t>
      </w:r>
      <w:r w:rsidRPr="00464EA8">
        <w:rPr>
          <w:rFonts w:cs="Arial"/>
          <w:sz w:val="20"/>
        </w:rPr>
        <w:t>team</w:t>
      </w:r>
      <w:r>
        <w:rPr>
          <w:rFonts w:cs="Arial"/>
          <w:sz w:val="20"/>
        </w:rPr>
        <w:t xml:space="preserve"> or senior injury management consultant.</w:t>
      </w:r>
    </w:p>
    <w:p w14:paraId="03499A36" w14:textId="77777777" w:rsidR="00240D5F" w:rsidRPr="00C66ECB" w:rsidRDefault="00240D5F" w:rsidP="0076355C">
      <w:pPr>
        <w:spacing w:line="280" w:lineRule="exact"/>
        <w:rPr>
          <w:rFonts w:cs="Arial"/>
          <w:sz w:val="20"/>
        </w:rPr>
      </w:pPr>
    </w:p>
    <w:p w14:paraId="39ADB6A6" w14:textId="77777777" w:rsidR="005C477C" w:rsidRDefault="005C477C" w:rsidP="008C5DEA">
      <w:pPr>
        <w:widowControl w:val="0"/>
        <w:spacing w:after="60" w:line="276" w:lineRule="auto"/>
        <w:contextualSpacing/>
        <w:jc w:val="both"/>
        <w:rPr>
          <w:rFonts w:cs="Arial"/>
          <w:sz w:val="20"/>
        </w:rPr>
        <w:sectPr w:rsidR="005C477C" w:rsidSect="00705900">
          <w:type w:val="continuous"/>
          <w:pgSz w:w="11900" w:h="16840" w:code="9"/>
          <w:pgMar w:top="1701" w:right="1134" w:bottom="1134" w:left="1134" w:header="709" w:footer="567" w:gutter="0"/>
          <w:cols w:num="2" w:space="708"/>
          <w:docGrid w:linePitch="360"/>
        </w:sectPr>
      </w:pPr>
    </w:p>
    <w:p w14:paraId="14E433EE" w14:textId="77777777" w:rsidR="005E4C47" w:rsidRPr="00671BAF" w:rsidRDefault="005E4C47" w:rsidP="005E4C47">
      <w:pPr>
        <w:spacing w:line="300" w:lineRule="exact"/>
        <w:rPr>
          <w:b/>
          <w:szCs w:val="22"/>
        </w:rPr>
      </w:pPr>
      <w:r w:rsidRPr="00D523E5">
        <w:rPr>
          <w:rFonts w:cs="Arial"/>
          <w:b/>
          <w:bCs/>
          <w:color w:val="00B0F0"/>
          <w:lang w:val="en-US"/>
        </w:rPr>
        <w:lastRenderedPageBreak/>
        <w:t xml:space="preserve">Funding </w:t>
      </w:r>
      <w:r w:rsidR="00885E9C">
        <w:rPr>
          <w:rFonts w:cs="Arial"/>
          <w:b/>
          <w:bCs/>
          <w:color w:val="00B0F0"/>
        </w:rPr>
        <w:t>r</w:t>
      </w:r>
      <w:r w:rsidRPr="005E4C47">
        <w:rPr>
          <w:rFonts w:cs="Arial"/>
          <w:b/>
          <w:bCs/>
          <w:color w:val="00B0F0"/>
        </w:rPr>
        <w:t>easonable</w:t>
      </w:r>
      <w:r w:rsidRPr="00D523E5">
        <w:rPr>
          <w:rFonts w:cs="Arial"/>
          <w:b/>
          <w:bCs/>
          <w:color w:val="00B0F0"/>
          <w:lang w:val="en-US"/>
        </w:rPr>
        <w:t xml:space="preserve"> </w:t>
      </w:r>
      <w:r w:rsidR="00885E9C">
        <w:rPr>
          <w:rFonts w:cs="Arial"/>
          <w:b/>
          <w:bCs/>
          <w:color w:val="00B0F0"/>
          <w:lang w:val="en-US"/>
        </w:rPr>
        <w:t>a</w:t>
      </w:r>
      <w:r w:rsidRPr="00D523E5">
        <w:rPr>
          <w:rFonts w:cs="Arial"/>
          <w:b/>
          <w:bCs/>
          <w:color w:val="00B0F0"/>
          <w:lang w:val="en-US"/>
        </w:rPr>
        <w:t>djustments</w:t>
      </w:r>
      <w:r>
        <w:rPr>
          <w:rFonts w:cs="Arial"/>
          <w:b/>
          <w:bCs/>
          <w:color w:val="00B0F0"/>
          <w:lang w:val="en-US"/>
        </w:rPr>
        <w:t>:</w:t>
      </w:r>
      <w:r w:rsidRPr="00D523E5">
        <w:rPr>
          <w:rFonts w:cs="Arial"/>
          <w:b/>
          <w:bCs/>
          <w:color w:val="00B0F0"/>
          <w:lang w:val="en-US"/>
        </w:rPr>
        <w:t xml:space="preserve"> Process </w:t>
      </w:r>
      <w:r w:rsidR="00885E9C">
        <w:rPr>
          <w:rFonts w:cs="Arial"/>
          <w:b/>
          <w:bCs/>
          <w:color w:val="00B0F0"/>
          <w:lang w:val="en-US"/>
        </w:rPr>
        <w:t>f</w:t>
      </w:r>
      <w:r w:rsidRPr="00D523E5">
        <w:rPr>
          <w:rFonts w:cs="Arial"/>
          <w:b/>
          <w:bCs/>
          <w:color w:val="00B0F0"/>
          <w:lang w:val="en-US"/>
        </w:rPr>
        <w:t>lowchart</w:t>
      </w:r>
    </w:p>
    <w:p w14:paraId="11A8F9FF" w14:textId="77777777" w:rsidR="005C477C" w:rsidRDefault="005C477C" w:rsidP="008C5DEA">
      <w:pPr>
        <w:widowControl w:val="0"/>
        <w:spacing w:after="60" w:line="276" w:lineRule="auto"/>
        <w:contextualSpacing/>
        <w:jc w:val="both"/>
        <w:rPr>
          <w:rFonts w:cs="Arial"/>
          <w:sz w:val="20"/>
        </w:rPr>
      </w:pPr>
    </w:p>
    <w:p w14:paraId="1A8B5885" w14:textId="2538FCE9" w:rsidR="005C477C" w:rsidRDefault="00193413" w:rsidP="001F6AB0">
      <w:pPr>
        <w:widowControl w:val="0"/>
        <w:spacing w:after="60" w:line="276" w:lineRule="auto"/>
        <w:contextualSpacing/>
        <w:jc w:val="center"/>
        <w:rPr>
          <w:rFonts w:cs="Arial"/>
          <w:sz w:val="20"/>
        </w:rPr>
      </w:pPr>
      <w:r w:rsidRPr="00193413">
        <w:rPr>
          <w:noProof/>
          <w:lang w:eastAsia="zh-CN"/>
        </w:rPr>
        <w:drawing>
          <wp:inline distT="0" distB="0" distL="0" distR="0" wp14:anchorId="3AF224B0" wp14:editId="767653EB">
            <wp:extent cx="6140077" cy="7417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9653" cy="7453288"/>
                    </a:xfrm>
                    <a:prstGeom prst="rect">
                      <a:avLst/>
                    </a:prstGeom>
                    <a:noFill/>
                    <a:ln>
                      <a:noFill/>
                    </a:ln>
                  </pic:spPr>
                </pic:pic>
              </a:graphicData>
            </a:graphic>
          </wp:inline>
        </w:drawing>
      </w:r>
    </w:p>
    <w:p w14:paraId="164B3896" w14:textId="77777777" w:rsidR="0007015D" w:rsidRDefault="0007015D" w:rsidP="001F6AB0">
      <w:pPr>
        <w:widowControl w:val="0"/>
        <w:spacing w:after="60" w:line="276" w:lineRule="auto"/>
        <w:contextualSpacing/>
        <w:jc w:val="center"/>
        <w:rPr>
          <w:rFonts w:cs="Arial"/>
          <w:sz w:val="20"/>
        </w:rPr>
      </w:pPr>
    </w:p>
    <w:p w14:paraId="01A885A1" w14:textId="77777777" w:rsidR="0007015D" w:rsidRPr="00B75358" w:rsidRDefault="0007015D" w:rsidP="0007015D">
      <w:pPr>
        <w:widowControl w:val="0"/>
        <w:pBdr>
          <w:top w:val="single" w:sz="4" w:space="1" w:color="auto"/>
          <w:left w:val="single" w:sz="4" w:space="4" w:color="auto"/>
          <w:bottom w:val="single" w:sz="4" w:space="1" w:color="auto"/>
          <w:right w:val="single" w:sz="4" w:space="4" w:color="auto"/>
        </w:pBdr>
        <w:shd w:val="clear" w:color="auto" w:fill="DEEAF6" w:themeFill="accent1" w:themeFillTint="33"/>
        <w:spacing w:after="60" w:line="276" w:lineRule="auto"/>
        <w:contextualSpacing/>
        <w:jc w:val="center"/>
        <w:rPr>
          <w:rFonts w:cs="Arial"/>
          <w:sz w:val="8"/>
        </w:rPr>
      </w:pPr>
    </w:p>
    <w:p w14:paraId="391B275D" w14:textId="77777777" w:rsidR="0007015D" w:rsidRDefault="0007015D" w:rsidP="0007015D">
      <w:pPr>
        <w:widowControl w:val="0"/>
        <w:pBdr>
          <w:top w:val="single" w:sz="4" w:space="1" w:color="auto"/>
          <w:left w:val="single" w:sz="4" w:space="4" w:color="auto"/>
          <w:bottom w:val="single" w:sz="4" w:space="1" w:color="auto"/>
          <w:right w:val="single" w:sz="4" w:space="4" w:color="auto"/>
        </w:pBdr>
        <w:shd w:val="clear" w:color="auto" w:fill="DEEAF6" w:themeFill="accent1" w:themeFillTint="33"/>
        <w:spacing w:after="60" w:line="276" w:lineRule="auto"/>
        <w:contextualSpacing/>
        <w:jc w:val="center"/>
        <w:rPr>
          <w:rStyle w:val="Hyperlink"/>
          <w:rFonts w:cs="Arial"/>
          <w:sz w:val="20"/>
        </w:rPr>
      </w:pPr>
      <w:r w:rsidRPr="008C5DEA">
        <w:rPr>
          <w:rFonts w:cs="Arial"/>
          <w:sz w:val="20"/>
        </w:rPr>
        <w:t>For further information</w:t>
      </w:r>
      <w:r>
        <w:rPr>
          <w:rFonts w:cs="Arial"/>
          <w:sz w:val="20"/>
        </w:rPr>
        <w:t>,</w:t>
      </w:r>
      <w:r w:rsidRPr="008C5DEA">
        <w:rPr>
          <w:rFonts w:cs="Arial"/>
          <w:sz w:val="20"/>
        </w:rPr>
        <w:t xml:space="preserve"> contact your </w:t>
      </w:r>
      <w:hyperlink r:id="rId17" w:history="1">
        <w:r w:rsidRPr="008C5DEA">
          <w:rPr>
            <w:rStyle w:val="Hyperlink"/>
            <w:rFonts w:cs="Arial"/>
            <w:sz w:val="20"/>
          </w:rPr>
          <w:t>Regional Organisational Health Team</w:t>
        </w:r>
      </w:hyperlink>
    </w:p>
    <w:sectPr w:rsidR="0007015D" w:rsidSect="0007015D">
      <w:pgSz w:w="11900" w:h="16840" w:code="9"/>
      <w:pgMar w:top="1701"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53BF" w14:textId="77777777" w:rsidR="001C1C32" w:rsidRDefault="001C1C32" w:rsidP="00190C24">
      <w:r>
        <w:separator/>
      </w:r>
    </w:p>
  </w:endnote>
  <w:endnote w:type="continuationSeparator" w:id="0">
    <w:p w14:paraId="3A4B626D" w14:textId="77777777" w:rsidR="001C1C32" w:rsidRDefault="001C1C3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CFD6" w14:textId="77777777" w:rsidR="0007015D" w:rsidRDefault="0007015D" w:rsidP="00BE3691">
    <w:pPr>
      <w:pStyle w:val="Footer"/>
      <w:tabs>
        <w:tab w:val="right" w:pos="7655"/>
      </w:tabs>
      <w:spacing w:after="60" w:line="240" w:lineRule="auto"/>
      <w:rPr>
        <w:b/>
        <w:sz w:val="16"/>
      </w:rPr>
    </w:pPr>
  </w:p>
  <w:p w14:paraId="12E6F955" w14:textId="323AFC1E" w:rsidR="00BE3691" w:rsidRDefault="00833EB7" w:rsidP="00BE3691">
    <w:pPr>
      <w:pStyle w:val="Footer"/>
      <w:tabs>
        <w:tab w:val="right" w:pos="7655"/>
      </w:tabs>
      <w:spacing w:after="60" w:line="240" w:lineRule="auto"/>
      <w:rPr>
        <w:sz w:val="16"/>
      </w:rPr>
    </w:pPr>
    <w:r w:rsidRPr="005E6DDA">
      <w:rPr>
        <w:b/>
        <w:sz w:val="16"/>
      </w:rPr>
      <w:t xml:space="preserve">Uncontrolled copy. </w:t>
    </w:r>
    <w:r w:rsidRPr="005E6DDA">
      <w:rPr>
        <w:sz w:val="16"/>
      </w:rPr>
      <w:t>Refer to the Department of Education Policy and Procedure Register</w:t>
    </w:r>
    <w:r>
      <w:rPr>
        <w:sz w:val="16"/>
      </w:rPr>
      <w:br/>
    </w:r>
    <w:r w:rsidR="00817EB3">
      <w:rPr>
        <w:sz w:val="16"/>
      </w:rPr>
      <w:t xml:space="preserve">at </w:t>
    </w:r>
    <w:hyperlink r:id="rId1" w:history="1">
      <w:r w:rsidR="00832BC2">
        <w:rPr>
          <w:rStyle w:val="Hyperlink"/>
          <w:sz w:val="16"/>
        </w:rPr>
        <w:t>https://ppr.qed.qld.gov.au/pp/reasonable-adjustments-procedure</w:t>
      </w:r>
    </w:hyperlink>
    <w:r w:rsidR="00817EB3">
      <w:rPr>
        <w:sz w:val="16"/>
      </w:rPr>
      <w:t xml:space="preserve"> </w:t>
    </w:r>
    <w:r w:rsidRPr="005E6DDA">
      <w:rPr>
        <w:sz w:val="16"/>
      </w:rPr>
      <w:t xml:space="preserve">to ensure you have the most </w:t>
    </w:r>
    <w:r w:rsidR="00817EB3">
      <w:rPr>
        <w:sz w:val="16"/>
      </w:rPr>
      <w:br/>
    </w:r>
    <w:r w:rsidRPr="005E6DDA">
      <w:rPr>
        <w:sz w:val="16"/>
      </w:rPr>
      <w:t>cu</w:t>
    </w:r>
    <w:r w:rsidR="00BE3691">
      <w:rPr>
        <w:sz w:val="16"/>
      </w:rPr>
      <w:t>rrent version of this document.</w:t>
    </w:r>
  </w:p>
  <w:p w14:paraId="41F7E67B" w14:textId="252FCE74" w:rsidR="002712BD" w:rsidRPr="00BE3691" w:rsidRDefault="00BE3691" w:rsidP="00BE3691">
    <w:pPr>
      <w:pStyle w:val="Footer"/>
      <w:tabs>
        <w:tab w:val="right" w:pos="7655"/>
      </w:tabs>
      <w:spacing w:after="0" w:line="240" w:lineRule="auto"/>
      <w:rPr>
        <w:sz w:val="16"/>
        <w:szCs w:val="16"/>
      </w:rPr>
    </w:pPr>
    <w:r w:rsidRPr="00846AAB">
      <w:rPr>
        <w:sz w:val="16"/>
        <w:szCs w:val="16"/>
      </w:rPr>
      <w:t xml:space="preserve">Page </w:t>
    </w:r>
    <w:r w:rsidRPr="00846AAB">
      <w:rPr>
        <w:b/>
        <w:bCs/>
        <w:sz w:val="16"/>
        <w:szCs w:val="16"/>
      </w:rPr>
      <w:fldChar w:fldCharType="begin"/>
    </w:r>
    <w:r w:rsidRPr="00846AAB">
      <w:rPr>
        <w:b/>
        <w:bCs/>
        <w:sz w:val="16"/>
        <w:szCs w:val="16"/>
      </w:rPr>
      <w:instrText xml:space="preserve"> PAGE </w:instrText>
    </w:r>
    <w:r w:rsidRPr="00846AAB">
      <w:rPr>
        <w:b/>
        <w:bCs/>
        <w:sz w:val="16"/>
        <w:szCs w:val="16"/>
      </w:rPr>
      <w:fldChar w:fldCharType="separate"/>
    </w:r>
    <w:r w:rsidR="00832BC2">
      <w:rPr>
        <w:b/>
        <w:bCs/>
        <w:noProof/>
        <w:sz w:val="16"/>
        <w:szCs w:val="16"/>
      </w:rPr>
      <w:t>2</w:t>
    </w:r>
    <w:r w:rsidRPr="00846AAB">
      <w:rPr>
        <w:b/>
        <w:bCs/>
        <w:sz w:val="16"/>
        <w:szCs w:val="16"/>
      </w:rPr>
      <w:fldChar w:fldCharType="end"/>
    </w:r>
    <w:r w:rsidRPr="00846AAB">
      <w:rPr>
        <w:sz w:val="16"/>
        <w:szCs w:val="16"/>
      </w:rPr>
      <w:t xml:space="preserve"> of </w:t>
    </w:r>
    <w:r w:rsidRPr="00846AAB">
      <w:rPr>
        <w:b/>
        <w:bCs/>
        <w:sz w:val="16"/>
        <w:szCs w:val="16"/>
      </w:rPr>
      <w:fldChar w:fldCharType="begin"/>
    </w:r>
    <w:r w:rsidRPr="00846AAB">
      <w:rPr>
        <w:b/>
        <w:bCs/>
        <w:sz w:val="16"/>
        <w:szCs w:val="16"/>
      </w:rPr>
      <w:instrText xml:space="preserve"> NUMPAGES  </w:instrText>
    </w:r>
    <w:r w:rsidRPr="00846AAB">
      <w:rPr>
        <w:b/>
        <w:bCs/>
        <w:sz w:val="16"/>
        <w:szCs w:val="16"/>
      </w:rPr>
      <w:fldChar w:fldCharType="separate"/>
    </w:r>
    <w:r w:rsidR="00832BC2">
      <w:rPr>
        <w:b/>
        <w:bCs/>
        <w:noProof/>
        <w:sz w:val="16"/>
        <w:szCs w:val="16"/>
      </w:rPr>
      <w:t>2</w:t>
    </w:r>
    <w:r w:rsidRPr="00846AAB">
      <w:rPr>
        <w:b/>
        <w:bCs/>
        <w:sz w:val="16"/>
        <w:szCs w:val="16"/>
      </w:rPr>
      <w:fldChar w:fldCharType="end"/>
    </w:r>
    <w:r w:rsidR="002712BD" w:rsidRPr="00BE3691">
      <w:rPr>
        <w:noProof/>
        <w:sz w:val="16"/>
        <w:szCs w:val="16"/>
        <w:lang w:eastAsia="zh-CN"/>
      </w:rPr>
      <w:drawing>
        <wp:anchor distT="0" distB="0" distL="114300" distR="114300" simplePos="0" relativeHeight="251660800" behindDoc="1" locked="0" layoutInCell="1" allowOverlap="1" wp14:anchorId="392220DA" wp14:editId="6D5318BE">
          <wp:simplePos x="0" y="0"/>
          <wp:positionH relativeFrom="page">
            <wp:posOffset>1693</wp:posOffset>
          </wp:positionH>
          <wp:positionV relativeFrom="page">
            <wp:posOffset>9725634</wp:posOffset>
          </wp:positionV>
          <wp:extent cx="7556614" cy="972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0121" w14:textId="1439FDB9" w:rsidR="003120F5" w:rsidRDefault="003120F5" w:rsidP="003120F5">
    <w:pPr>
      <w:pStyle w:val="Footer"/>
      <w:tabs>
        <w:tab w:val="right" w:pos="7655"/>
      </w:tabs>
      <w:spacing w:after="60" w:line="240" w:lineRule="auto"/>
      <w:rPr>
        <w:b/>
        <w:sz w:val="16"/>
      </w:rPr>
    </w:pPr>
    <w:r w:rsidRPr="00BE3691">
      <w:rPr>
        <w:noProof/>
        <w:sz w:val="16"/>
        <w:szCs w:val="16"/>
        <w:lang w:eastAsia="zh-CN"/>
      </w:rPr>
      <w:drawing>
        <wp:anchor distT="0" distB="0" distL="114300" distR="114300" simplePos="0" relativeHeight="251662848" behindDoc="1" locked="0" layoutInCell="1" allowOverlap="1" wp14:anchorId="710870BD" wp14:editId="776C6676">
          <wp:simplePos x="0" y="0"/>
          <wp:positionH relativeFrom="page">
            <wp:align>right</wp:align>
          </wp:positionH>
          <wp:positionV relativeFrom="page">
            <wp:posOffset>9267825</wp:posOffset>
          </wp:positionV>
          <wp:extent cx="7556614" cy="97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p w14:paraId="54793590" w14:textId="68A2042F" w:rsidR="003120F5" w:rsidRDefault="003120F5" w:rsidP="003120F5">
    <w:pPr>
      <w:pStyle w:val="Footer"/>
      <w:tabs>
        <w:tab w:val="right" w:pos="7655"/>
      </w:tabs>
      <w:spacing w:after="60" w:line="240" w:lineRule="auto"/>
      <w:rPr>
        <w:sz w:val="16"/>
      </w:rPr>
    </w:pPr>
    <w:r w:rsidRPr="005E6DDA">
      <w:rPr>
        <w:b/>
        <w:sz w:val="16"/>
      </w:rPr>
      <w:t xml:space="preserve">Uncontrolled copy. </w:t>
    </w:r>
    <w:r w:rsidRPr="005E6DDA">
      <w:rPr>
        <w:sz w:val="16"/>
      </w:rPr>
      <w:t>Refer to the Department of Education Policy and Procedure Register</w:t>
    </w:r>
    <w:r>
      <w:rPr>
        <w:sz w:val="16"/>
      </w:rPr>
      <w:br/>
      <w:t xml:space="preserve">at </w:t>
    </w:r>
    <w:hyperlink r:id="rId2" w:history="1">
      <w:r>
        <w:rPr>
          <w:rStyle w:val="Hyperlink"/>
          <w:sz w:val="16"/>
        </w:rPr>
        <w:t>https://ppr.qed.qld.gov.au/pp/reasonable-adjustments-procedure</w:t>
      </w:r>
    </w:hyperlink>
    <w:r>
      <w:rPr>
        <w:sz w:val="16"/>
      </w:rPr>
      <w:t xml:space="preserve"> </w:t>
    </w:r>
    <w:r w:rsidRPr="005E6DDA">
      <w:rPr>
        <w:sz w:val="16"/>
      </w:rPr>
      <w:t xml:space="preserve">to ensure you have the most </w:t>
    </w:r>
    <w:r>
      <w:rPr>
        <w:sz w:val="16"/>
      </w:rPr>
      <w:br/>
    </w:r>
    <w:r w:rsidRPr="005E6DDA">
      <w:rPr>
        <w:sz w:val="16"/>
      </w:rPr>
      <w:t>cu</w:t>
    </w:r>
    <w:r>
      <w:rPr>
        <w:sz w:val="16"/>
      </w:rPr>
      <w:t>rrent version of this document.</w:t>
    </w:r>
  </w:p>
  <w:p w14:paraId="4908C8B4" w14:textId="053D1ACE" w:rsidR="003120F5" w:rsidRPr="00BE3691" w:rsidRDefault="003120F5" w:rsidP="003120F5">
    <w:pPr>
      <w:pStyle w:val="Footer"/>
      <w:tabs>
        <w:tab w:val="right" w:pos="7655"/>
      </w:tabs>
      <w:spacing w:after="0" w:line="240" w:lineRule="auto"/>
      <w:rPr>
        <w:sz w:val="16"/>
        <w:szCs w:val="16"/>
      </w:rPr>
    </w:pPr>
    <w:r w:rsidRPr="00846AAB">
      <w:rPr>
        <w:sz w:val="16"/>
        <w:szCs w:val="16"/>
      </w:rPr>
      <w:t xml:space="preserve">Page </w:t>
    </w:r>
    <w:r w:rsidRPr="00846AAB">
      <w:rPr>
        <w:b/>
        <w:bCs/>
        <w:sz w:val="16"/>
        <w:szCs w:val="16"/>
      </w:rPr>
      <w:fldChar w:fldCharType="begin"/>
    </w:r>
    <w:r w:rsidRPr="00846AAB">
      <w:rPr>
        <w:b/>
        <w:bCs/>
        <w:sz w:val="16"/>
        <w:szCs w:val="16"/>
      </w:rPr>
      <w:instrText xml:space="preserve"> PAGE </w:instrText>
    </w:r>
    <w:r w:rsidRPr="00846AAB">
      <w:rPr>
        <w:b/>
        <w:bCs/>
        <w:sz w:val="16"/>
        <w:szCs w:val="16"/>
      </w:rPr>
      <w:fldChar w:fldCharType="separate"/>
    </w:r>
    <w:r>
      <w:rPr>
        <w:b/>
        <w:bCs/>
        <w:sz w:val="16"/>
        <w:szCs w:val="16"/>
      </w:rPr>
      <w:t>1</w:t>
    </w:r>
    <w:r w:rsidRPr="00846AAB">
      <w:rPr>
        <w:b/>
        <w:bCs/>
        <w:sz w:val="16"/>
        <w:szCs w:val="16"/>
      </w:rPr>
      <w:fldChar w:fldCharType="end"/>
    </w:r>
    <w:r w:rsidRPr="00846AAB">
      <w:rPr>
        <w:sz w:val="16"/>
        <w:szCs w:val="16"/>
      </w:rPr>
      <w:t xml:space="preserve"> of </w:t>
    </w:r>
    <w:r w:rsidRPr="00846AAB">
      <w:rPr>
        <w:b/>
        <w:bCs/>
        <w:sz w:val="16"/>
        <w:szCs w:val="16"/>
      </w:rPr>
      <w:fldChar w:fldCharType="begin"/>
    </w:r>
    <w:r w:rsidRPr="00846AAB">
      <w:rPr>
        <w:b/>
        <w:bCs/>
        <w:sz w:val="16"/>
        <w:szCs w:val="16"/>
      </w:rPr>
      <w:instrText xml:space="preserve"> NUMPAGES  </w:instrText>
    </w:r>
    <w:r w:rsidRPr="00846AAB">
      <w:rPr>
        <w:b/>
        <w:bCs/>
        <w:sz w:val="16"/>
        <w:szCs w:val="16"/>
      </w:rPr>
      <w:fldChar w:fldCharType="separate"/>
    </w:r>
    <w:r>
      <w:rPr>
        <w:b/>
        <w:bCs/>
        <w:sz w:val="16"/>
        <w:szCs w:val="16"/>
      </w:rPr>
      <w:t>2</w:t>
    </w:r>
    <w:r w:rsidRPr="00846AAB">
      <w:rPr>
        <w:b/>
        <w:bCs/>
        <w:sz w:val="16"/>
        <w:szCs w:val="16"/>
      </w:rPr>
      <w:fldChar w:fldCharType="end"/>
    </w:r>
  </w:p>
  <w:p w14:paraId="6709EC96" w14:textId="02C6173B" w:rsidR="0007015D" w:rsidRDefault="0007015D">
    <w:pPr>
      <w:pStyle w:val="Footer"/>
    </w:pPr>
    <w:r>
      <w:rPr>
        <w:rFonts w:cs="Arial"/>
        <w:noProof/>
        <w:sz w:val="20"/>
      </w:rPr>
      <w:drawing>
        <wp:inline distT="0" distB="0" distL="0" distR="0" wp14:anchorId="0475D2A8" wp14:editId="152D7197">
          <wp:extent cx="6116320" cy="8636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a:extLst>
                      <a:ext uri="{28A0092B-C50C-407E-A947-70E740481C1C}">
                        <a14:useLocalDpi xmlns:a14="http://schemas.microsoft.com/office/drawing/2010/main" val="0"/>
                      </a:ext>
                    </a:extLst>
                  </a:blip>
                  <a:stretch>
                    <a:fillRect/>
                  </a:stretch>
                </pic:blipFill>
                <pic:spPr>
                  <a:xfrm>
                    <a:off x="0" y="0"/>
                    <a:ext cx="6116320" cy="86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3EE5" w14:textId="77777777" w:rsidR="001C1C32" w:rsidRDefault="001C1C32" w:rsidP="00190C24">
      <w:r>
        <w:separator/>
      </w:r>
    </w:p>
  </w:footnote>
  <w:footnote w:type="continuationSeparator" w:id="0">
    <w:p w14:paraId="6B39E6E6" w14:textId="77777777" w:rsidR="001C1C32" w:rsidRDefault="001C1C3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2358" w14:textId="5D41EB5A" w:rsidR="00D01CD2" w:rsidRDefault="0007015D" w:rsidP="0007015D">
    <w:pPr>
      <w:pStyle w:val="Header"/>
      <w:spacing w:after="0" w:line="240" w:lineRule="auto"/>
      <w:ind w:left="-1134"/>
    </w:pPr>
    <w:r>
      <w:rPr>
        <w:noProof/>
      </w:rPr>
      <w:drawing>
        <wp:inline distT="0" distB="0" distL="0" distR="0" wp14:anchorId="44EEB888" wp14:editId="5C20F47B">
          <wp:extent cx="7556500" cy="935561"/>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71953" cy="949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B64"/>
    <w:multiLevelType w:val="hybridMultilevel"/>
    <w:tmpl w:val="6C7AE37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46D80"/>
    <w:multiLevelType w:val="hybridMultilevel"/>
    <w:tmpl w:val="1E16942A"/>
    <w:lvl w:ilvl="0" w:tplc="E42055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7F40A6"/>
    <w:multiLevelType w:val="hybridMultilevel"/>
    <w:tmpl w:val="D2CED106"/>
    <w:lvl w:ilvl="0" w:tplc="E42055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12662"/>
    <w:multiLevelType w:val="hybridMultilevel"/>
    <w:tmpl w:val="4E74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37F20"/>
    <w:multiLevelType w:val="hybridMultilevel"/>
    <w:tmpl w:val="6CA8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926D6"/>
    <w:multiLevelType w:val="hybridMultilevel"/>
    <w:tmpl w:val="45982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238688C"/>
    <w:multiLevelType w:val="hybridMultilevel"/>
    <w:tmpl w:val="37BA6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212242"/>
    <w:multiLevelType w:val="hybridMultilevel"/>
    <w:tmpl w:val="E8C6B2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F637C6"/>
    <w:multiLevelType w:val="hybridMultilevel"/>
    <w:tmpl w:val="D71E1556"/>
    <w:lvl w:ilvl="0" w:tplc="B0147E9C">
      <w:start w:val="1"/>
      <w:numFmt w:val="bullet"/>
      <w:lvlText w:val="û"/>
      <w:lvlJc w:val="left"/>
      <w:pPr>
        <w:ind w:left="360" w:hanging="360"/>
      </w:pPr>
      <w:rPr>
        <w:rFonts w:ascii="Wingdings" w:hAnsi="Wingdings" w:hint="default"/>
      </w:rPr>
    </w:lvl>
    <w:lvl w:ilvl="1" w:tplc="0C090003" w:tentative="1">
      <w:start w:val="1"/>
      <w:numFmt w:val="bullet"/>
      <w:lvlText w:val="o"/>
      <w:lvlJc w:val="left"/>
      <w:pPr>
        <w:ind w:left="1043" w:hanging="360"/>
      </w:pPr>
      <w:rPr>
        <w:rFonts w:ascii="Courier New" w:hAnsi="Courier New" w:cs="Courier New" w:hint="default"/>
      </w:rPr>
    </w:lvl>
    <w:lvl w:ilvl="2" w:tplc="0C090005" w:tentative="1">
      <w:start w:val="1"/>
      <w:numFmt w:val="bullet"/>
      <w:lvlText w:val=""/>
      <w:lvlJc w:val="left"/>
      <w:pPr>
        <w:ind w:left="1763" w:hanging="360"/>
      </w:pPr>
      <w:rPr>
        <w:rFonts w:ascii="Wingdings" w:hAnsi="Wingdings" w:hint="default"/>
      </w:rPr>
    </w:lvl>
    <w:lvl w:ilvl="3" w:tplc="0C090001" w:tentative="1">
      <w:start w:val="1"/>
      <w:numFmt w:val="bullet"/>
      <w:lvlText w:val=""/>
      <w:lvlJc w:val="left"/>
      <w:pPr>
        <w:ind w:left="2483" w:hanging="360"/>
      </w:pPr>
      <w:rPr>
        <w:rFonts w:ascii="Symbol" w:hAnsi="Symbol" w:hint="default"/>
      </w:rPr>
    </w:lvl>
    <w:lvl w:ilvl="4" w:tplc="0C090003" w:tentative="1">
      <w:start w:val="1"/>
      <w:numFmt w:val="bullet"/>
      <w:lvlText w:val="o"/>
      <w:lvlJc w:val="left"/>
      <w:pPr>
        <w:ind w:left="3203" w:hanging="360"/>
      </w:pPr>
      <w:rPr>
        <w:rFonts w:ascii="Courier New" w:hAnsi="Courier New" w:cs="Courier New" w:hint="default"/>
      </w:rPr>
    </w:lvl>
    <w:lvl w:ilvl="5" w:tplc="0C090005" w:tentative="1">
      <w:start w:val="1"/>
      <w:numFmt w:val="bullet"/>
      <w:lvlText w:val=""/>
      <w:lvlJc w:val="left"/>
      <w:pPr>
        <w:ind w:left="3923" w:hanging="360"/>
      </w:pPr>
      <w:rPr>
        <w:rFonts w:ascii="Wingdings" w:hAnsi="Wingdings" w:hint="default"/>
      </w:rPr>
    </w:lvl>
    <w:lvl w:ilvl="6" w:tplc="0C090001" w:tentative="1">
      <w:start w:val="1"/>
      <w:numFmt w:val="bullet"/>
      <w:lvlText w:val=""/>
      <w:lvlJc w:val="left"/>
      <w:pPr>
        <w:ind w:left="4643" w:hanging="360"/>
      </w:pPr>
      <w:rPr>
        <w:rFonts w:ascii="Symbol" w:hAnsi="Symbol" w:hint="default"/>
      </w:rPr>
    </w:lvl>
    <w:lvl w:ilvl="7" w:tplc="0C090003" w:tentative="1">
      <w:start w:val="1"/>
      <w:numFmt w:val="bullet"/>
      <w:lvlText w:val="o"/>
      <w:lvlJc w:val="left"/>
      <w:pPr>
        <w:ind w:left="5363" w:hanging="360"/>
      </w:pPr>
      <w:rPr>
        <w:rFonts w:ascii="Courier New" w:hAnsi="Courier New" w:cs="Courier New" w:hint="default"/>
      </w:rPr>
    </w:lvl>
    <w:lvl w:ilvl="8" w:tplc="0C090005" w:tentative="1">
      <w:start w:val="1"/>
      <w:numFmt w:val="bullet"/>
      <w:lvlText w:val=""/>
      <w:lvlJc w:val="left"/>
      <w:pPr>
        <w:ind w:left="6083" w:hanging="360"/>
      </w:pPr>
      <w:rPr>
        <w:rFonts w:ascii="Wingdings" w:hAnsi="Wingdings" w:hint="default"/>
      </w:rPr>
    </w:lvl>
  </w:abstractNum>
  <w:abstractNum w:abstractNumId="11" w15:restartNumberingAfterBreak="0">
    <w:nsid w:val="795A4F2A"/>
    <w:multiLevelType w:val="hybridMultilevel"/>
    <w:tmpl w:val="9806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8"/>
  </w:num>
  <w:num w:numId="6">
    <w:abstractNumId w:val="5"/>
  </w:num>
  <w:num w:numId="7">
    <w:abstractNumId w:val="4"/>
  </w:num>
  <w:num w:numId="8">
    <w:abstractNumId w:val="9"/>
  </w:num>
  <w:num w:numId="9">
    <w:abstractNumId w:val="10"/>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5E"/>
    <w:rsid w:val="0002155B"/>
    <w:rsid w:val="000425F7"/>
    <w:rsid w:val="000436FC"/>
    <w:rsid w:val="00063AD9"/>
    <w:rsid w:val="0007015D"/>
    <w:rsid w:val="00075E05"/>
    <w:rsid w:val="000808D3"/>
    <w:rsid w:val="000B38A9"/>
    <w:rsid w:val="000B61AC"/>
    <w:rsid w:val="000E584D"/>
    <w:rsid w:val="000F7FDE"/>
    <w:rsid w:val="0010171F"/>
    <w:rsid w:val="00121D18"/>
    <w:rsid w:val="00156921"/>
    <w:rsid w:val="00190C24"/>
    <w:rsid w:val="00193413"/>
    <w:rsid w:val="001C1C32"/>
    <w:rsid w:val="001E4ED4"/>
    <w:rsid w:val="001F51A5"/>
    <w:rsid w:val="001F6AB0"/>
    <w:rsid w:val="002371F7"/>
    <w:rsid w:val="00240D5F"/>
    <w:rsid w:val="002712BD"/>
    <w:rsid w:val="0029530F"/>
    <w:rsid w:val="002C07EB"/>
    <w:rsid w:val="002C2CAB"/>
    <w:rsid w:val="002C3128"/>
    <w:rsid w:val="002F78A2"/>
    <w:rsid w:val="003120F5"/>
    <w:rsid w:val="00316B83"/>
    <w:rsid w:val="00385A56"/>
    <w:rsid w:val="003955C1"/>
    <w:rsid w:val="003C51CB"/>
    <w:rsid w:val="003C5628"/>
    <w:rsid w:val="003F36E8"/>
    <w:rsid w:val="003F643A"/>
    <w:rsid w:val="00404BCA"/>
    <w:rsid w:val="004366E3"/>
    <w:rsid w:val="00456B43"/>
    <w:rsid w:val="004611ED"/>
    <w:rsid w:val="00464EA8"/>
    <w:rsid w:val="00473CE9"/>
    <w:rsid w:val="00486C21"/>
    <w:rsid w:val="0049220E"/>
    <w:rsid w:val="004E1CC0"/>
    <w:rsid w:val="00543C48"/>
    <w:rsid w:val="005C477C"/>
    <w:rsid w:val="005D1327"/>
    <w:rsid w:val="005E4C47"/>
    <w:rsid w:val="005F4331"/>
    <w:rsid w:val="00602ABE"/>
    <w:rsid w:val="006239A5"/>
    <w:rsid w:val="006334E1"/>
    <w:rsid w:val="00636B71"/>
    <w:rsid w:val="00671BAF"/>
    <w:rsid w:val="006C3D8E"/>
    <w:rsid w:val="00705900"/>
    <w:rsid w:val="007324B5"/>
    <w:rsid w:val="00745310"/>
    <w:rsid w:val="0076355C"/>
    <w:rsid w:val="007946C9"/>
    <w:rsid w:val="007A156C"/>
    <w:rsid w:val="007B0D82"/>
    <w:rsid w:val="007C61F2"/>
    <w:rsid w:val="007E7C8C"/>
    <w:rsid w:val="0080579A"/>
    <w:rsid w:val="00817EB3"/>
    <w:rsid w:val="00832BC2"/>
    <w:rsid w:val="00833EB7"/>
    <w:rsid w:val="00885E9C"/>
    <w:rsid w:val="0089271B"/>
    <w:rsid w:val="008969C6"/>
    <w:rsid w:val="008C5DEA"/>
    <w:rsid w:val="008F1B11"/>
    <w:rsid w:val="00907963"/>
    <w:rsid w:val="00911951"/>
    <w:rsid w:val="00933DC5"/>
    <w:rsid w:val="0096078C"/>
    <w:rsid w:val="0096595E"/>
    <w:rsid w:val="00995BD8"/>
    <w:rsid w:val="009B7893"/>
    <w:rsid w:val="009C1A23"/>
    <w:rsid w:val="009E5EE5"/>
    <w:rsid w:val="009F02B3"/>
    <w:rsid w:val="00A47F67"/>
    <w:rsid w:val="00A62251"/>
    <w:rsid w:val="00A65710"/>
    <w:rsid w:val="00AB0A25"/>
    <w:rsid w:val="00AC555D"/>
    <w:rsid w:val="00AD169A"/>
    <w:rsid w:val="00AD2501"/>
    <w:rsid w:val="00AE55E0"/>
    <w:rsid w:val="00B33337"/>
    <w:rsid w:val="00B66D29"/>
    <w:rsid w:val="00B75358"/>
    <w:rsid w:val="00B7618D"/>
    <w:rsid w:val="00B810ED"/>
    <w:rsid w:val="00B8699D"/>
    <w:rsid w:val="00B9771E"/>
    <w:rsid w:val="00BC4AA9"/>
    <w:rsid w:val="00BE3691"/>
    <w:rsid w:val="00C0370E"/>
    <w:rsid w:val="00C0519D"/>
    <w:rsid w:val="00C14DAD"/>
    <w:rsid w:val="00C536AD"/>
    <w:rsid w:val="00CB07AD"/>
    <w:rsid w:val="00CB5C25"/>
    <w:rsid w:val="00CC13DE"/>
    <w:rsid w:val="00CC305E"/>
    <w:rsid w:val="00CD793C"/>
    <w:rsid w:val="00D01CD2"/>
    <w:rsid w:val="00D37E92"/>
    <w:rsid w:val="00D4245A"/>
    <w:rsid w:val="00D45B17"/>
    <w:rsid w:val="00D75050"/>
    <w:rsid w:val="00D842DF"/>
    <w:rsid w:val="00DA0332"/>
    <w:rsid w:val="00DC5E03"/>
    <w:rsid w:val="00DD5171"/>
    <w:rsid w:val="00E07B4D"/>
    <w:rsid w:val="00E51E9C"/>
    <w:rsid w:val="00EB4B6E"/>
    <w:rsid w:val="00EF474F"/>
    <w:rsid w:val="00EF4AC5"/>
    <w:rsid w:val="00F367B3"/>
    <w:rsid w:val="00F43663"/>
    <w:rsid w:val="00F447A2"/>
    <w:rsid w:val="00F5417C"/>
    <w:rsid w:val="00F620D3"/>
    <w:rsid w:val="00F7536C"/>
    <w:rsid w:val="00F77D2F"/>
    <w:rsid w:val="00F962E3"/>
    <w:rsid w:val="00FA1EA5"/>
    <w:rsid w:val="00FF37F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F7006"/>
  <w15:docId w15:val="{17E6F56B-A270-4EE9-82D6-C8BF06B7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40D5F"/>
    <w:rPr>
      <w:color w:val="0563C1" w:themeColor="hyperlink"/>
      <w:u w:val="single"/>
    </w:rPr>
  </w:style>
  <w:style w:type="paragraph" w:styleId="BalloonText">
    <w:name w:val="Balloon Text"/>
    <w:basedOn w:val="Normal"/>
    <w:link w:val="BalloonTextChar"/>
    <w:uiPriority w:val="99"/>
    <w:semiHidden/>
    <w:unhideWhenUsed/>
    <w:rsid w:val="00896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C6"/>
    <w:rPr>
      <w:rFonts w:ascii="Segoe UI" w:hAnsi="Segoe UI" w:cs="Segoe UI"/>
      <w:sz w:val="18"/>
      <w:szCs w:val="18"/>
    </w:rPr>
  </w:style>
  <w:style w:type="character" w:styleId="CommentReference">
    <w:name w:val="annotation reference"/>
    <w:basedOn w:val="DefaultParagraphFont"/>
    <w:uiPriority w:val="99"/>
    <w:semiHidden/>
    <w:unhideWhenUsed/>
    <w:rsid w:val="00C14DAD"/>
    <w:rPr>
      <w:sz w:val="16"/>
      <w:szCs w:val="16"/>
    </w:rPr>
  </w:style>
  <w:style w:type="paragraph" w:styleId="CommentText">
    <w:name w:val="annotation text"/>
    <w:basedOn w:val="Normal"/>
    <w:link w:val="CommentTextChar"/>
    <w:uiPriority w:val="99"/>
    <w:semiHidden/>
    <w:unhideWhenUsed/>
    <w:rsid w:val="00C14DAD"/>
    <w:pPr>
      <w:spacing w:line="240" w:lineRule="auto"/>
    </w:pPr>
    <w:rPr>
      <w:sz w:val="20"/>
      <w:szCs w:val="20"/>
    </w:rPr>
  </w:style>
  <w:style w:type="character" w:customStyle="1" w:styleId="CommentTextChar">
    <w:name w:val="Comment Text Char"/>
    <w:basedOn w:val="DefaultParagraphFont"/>
    <w:link w:val="CommentText"/>
    <w:uiPriority w:val="99"/>
    <w:semiHidden/>
    <w:rsid w:val="00C14D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4DAD"/>
    <w:rPr>
      <w:b/>
      <w:bCs/>
    </w:rPr>
  </w:style>
  <w:style w:type="character" w:customStyle="1" w:styleId="CommentSubjectChar">
    <w:name w:val="Comment Subject Char"/>
    <w:basedOn w:val="CommentTextChar"/>
    <w:link w:val="CommentSubject"/>
    <w:uiPriority w:val="99"/>
    <w:semiHidden/>
    <w:rsid w:val="00C14DAD"/>
    <w:rPr>
      <w:rFonts w:ascii="Arial" w:hAnsi="Arial"/>
      <w:b/>
      <w:bCs/>
      <w:sz w:val="20"/>
      <w:szCs w:val="20"/>
    </w:rPr>
  </w:style>
  <w:style w:type="character" w:styleId="FollowedHyperlink">
    <w:name w:val="FollowedHyperlink"/>
    <w:basedOn w:val="DefaultParagraphFont"/>
    <w:uiPriority w:val="99"/>
    <w:semiHidden/>
    <w:unhideWhenUsed/>
    <w:rsid w:val="00885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ducation.qld.gov.au/initiatives-and-strategies/health-and-wellbeing/workplaces/contacts" TargetMode="Externa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reasonable-adjustments-procedure" TargetMode="External"/><Relationship Id="rId5" Type="http://schemas.openxmlformats.org/officeDocument/2006/relationships/numbering" Target="numbering.xml"/><Relationship Id="rId15" Type="http://schemas.openxmlformats.org/officeDocument/2006/relationships/hyperlink" Target="https://www.humanrights.gov.au/quick-guide/1210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mpe.qed.qld.gov.au/pp/reasonable-adjustments-procedur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ppr.mpe.qed.qld.gov.au/pp/reasonable-adjustment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HPRMRecordNumber xmlns="http://schemas.microsoft.com/sharepoint/v3">20/696161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2023-10-09T05:17:40+00:00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Funding reasonable adjustments fact sheet</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2023-10-09T05:47:02+00:00</PPLastReviewedDate>
    <PPContentAuthor xmlns="16795be8-4374-4e44-895d-be6cdbab3e2c">
      <UserInfo>
        <DisplayName/>
        <AccountId xsi:nil="true"/>
        <AccountType/>
      </UserInfo>
    </PPContentAuthor>
    <PPModeratedDate xmlns="16795be8-4374-4e44-895d-be6cdbab3e2c">2023-10-09T05:47:01+00:00</PPModeratedDate>
    <PPRBusinessUnit xmlns="http://schemas.microsoft.com/sharepoint/v3">HR Business Partnering, Safety and Wellbeing</PPRBusinessUnit>
    <PPRIsUpdatesPage xmlns="http://schemas.microsoft.com/sharepoint/v3">false</PPRIsUpdatesPage>
    <PPRContentType xmlns="http://schemas.microsoft.com/sharepoint/v3">Supporting information</PPRContentType>
    <PPRHPRMUpdateDate xmlns="http://schemas.microsoft.com/sharepoint/v3">2023-10-09T04:06:14+00:00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Newbold, Director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5</PPRHPRMRevisionNumber>
    <PPRKeywords xmlns="http://schemas.microsoft.com/sharepoint/v3">EEO; equal employment opportunity; recruitment; employment; appointment; disabilities; adjustment; reasonable; workplace health and safety;</PPRKeywords>
    <PPRPublishedDate xmlns="http://schemas.microsoft.com/sharepoint/v3" xsi:nil="true"/>
    <PPRStatus xmlns="http://schemas.microsoft.com/sharepoint/v3" xsi:nil="true"/>
    <PPRRisknumber xmlns="http://schemas.microsoft.com/sharepoint/v3" xsi:nil="true"/>
    <PPRAttachmentParent xmlns="http://schemas.microsoft.com/sharepoint/v3">20/693864</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BE4DB-82D0-47BC-B428-56CF1E760CD2}">
  <ds:schemaRefs>
    <ds:schemaRef ds:uri="http://schemas.microsoft.com/office/2006/metadata/propertie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3FC490FE-85A4-46DF-A00F-B9E9AEC3D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83AED-BA44-4DE6-AB64-881D631413E5}">
  <ds:schemaRefs>
    <ds:schemaRef ds:uri="http://schemas.openxmlformats.org/officeDocument/2006/bibliography"/>
  </ds:schemaRefs>
</ds:datastoreItem>
</file>

<file path=customXml/itemProps4.xml><?xml version="1.0" encoding="utf-8"?>
<ds:datastoreItem xmlns:ds="http://schemas.openxmlformats.org/officeDocument/2006/customXml" ds:itemID="{1E651108-C246-4E91-8399-C1985DDFB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DoE-corp-A4-page-portrait-option-3.dotx</Template>
  <TotalTime>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Funding reasonable adjustments fact sheet</vt:lpstr>
    </vt:vector>
  </TitlesOfParts>
  <Company>Queensland Government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reasonable adjustments fact sheet</dc:title>
  <dc:creator>Department of Education</dc:creator>
  <cp:keywords>DoE corporate A4 page portrait; option 3; DoE corporate;</cp:keywords>
  <cp:lastModifiedBy>GILLAM, Maddison</cp:lastModifiedBy>
  <cp:revision>3</cp:revision>
  <cp:lastPrinted>2018-02-23T03:59:00Z</cp:lastPrinted>
  <dcterms:created xsi:type="dcterms:W3CDTF">2023-09-29T00:15:00Z</dcterms:created>
  <dcterms:modified xsi:type="dcterms:W3CDTF">2023-10-09T04:06:00Z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19800</vt:r8>
  </property>
</Properties>
</file>