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4966" w14:textId="51AC81AA" w:rsidR="00A91927" w:rsidRDefault="00600BC9" w:rsidP="00CD3470">
      <w:bookmarkStart w:id="0" w:name="_GoBack"/>
      <w:bookmarkEnd w:id="0"/>
      <w:r>
        <w:rPr>
          <w:noProof/>
          <w:lang w:eastAsia="zh-CN"/>
        </w:rPr>
        <mc:AlternateContent>
          <mc:Choice Requires="wps">
            <w:drawing>
              <wp:anchor distT="0" distB="0" distL="114300" distR="114300" simplePos="0" relativeHeight="251657728" behindDoc="0" locked="0" layoutInCell="1" allowOverlap="1" wp14:anchorId="11EB737F" wp14:editId="61F7377D">
                <wp:simplePos x="0" y="0"/>
                <wp:positionH relativeFrom="column">
                  <wp:posOffset>-117691</wp:posOffset>
                </wp:positionH>
                <wp:positionV relativeFrom="paragraph">
                  <wp:posOffset>-280142</wp:posOffset>
                </wp:positionV>
                <wp:extent cx="7031990" cy="569344"/>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569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C5F3" w14:textId="41A16E6D" w:rsidR="00445F97" w:rsidRPr="00CD3470" w:rsidRDefault="002F44D2" w:rsidP="00445F97">
                            <w:pPr>
                              <w:rPr>
                                <w:rFonts w:ascii="Arial" w:hAnsi="Arial" w:cs="Arial"/>
                                <w:b/>
                                <w:sz w:val="40"/>
                                <w:szCs w:val="40"/>
                              </w:rPr>
                            </w:pPr>
                            <w:r w:rsidRPr="00CD3470">
                              <w:rPr>
                                <w:rFonts w:ascii="Arial" w:hAnsi="Arial" w:cs="Arial"/>
                                <w:b/>
                                <w:sz w:val="48"/>
                                <w:szCs w:val="48"/>
                              </w:rPr>
                              <w:t xml:space="preserve">Guidelines for </w:t>
                            </w:r>
                            <w:r w:rsidR="00705FA6" w:rsidRPr="00CD3470">
                              <w:rPr>
                                <w:rFonts w:ascii="Arial" w:hAnsi="Arial" w:cs="Arial"/>
                                <w:b/>
                                <w:sz w:val="48"/>
                                <w:szCs w:val="48"/>
                              </w:rPr>
                              <w:t xml:space="preserve">the </w:t>
                            </w:r>
                            <w:r w:rsidR="0000599A" w:rsidRPr="00CD3470">
                              <w:rPr>
                                <w:rFonts w:ascii="Arial" w:hAnsi="Arial" w:cs="Arial"/>
                                <w:b/>
                                <w:sz w:val="48"/>
                                <w:szCs w:val="48"/>
                              </w:rPr>
                              <w:t>a</w:t>
                            </w:r>
                            <w:r w:rsidRPr="00CD3470">
                              <w:rPr>
                                <w:rFonts w:ascii="Arial" w:hAnsi="Arial" w:cs="Arial"/>
                                <w:b/>
                                <w:sz w:val="48"/>
                                <w:szCs w:val="48"/>
                              </w:rPr>
                              <w:t xml:space="preserve">llocation </w:t>
                            </w:r>
                            <w:r w:rsidR="00BC2520" w:rsidRPr="00CD3470">
                              <w:rPr>
                                <w:rFonts w:ascii="Arial" w:hAnsi="Arial" w:cs="Arial"/>
                                <w:b/>
                                <w:sz w:val="48"/>
                                <w:szCs w:val="48"/>
                              </w:rPr>
                              <w:t>of</w:t>
                            </w:r>
                            <w:r w:rsidRPr="00CD3470">
                              <w:rPr>
                                <w:rFonts w:ascii="Arial" w:hAnsi="Arial" w:cs="Arial"/>
                                <w:b/>
                                <w:sz w:val="48"/>
                                <w:szCs w:val="48"/>
                              </w:rPr>
                              <w:t xml:space="preserve"> </w:t>
                            </w:r>
                            <w:r w:rsidR="0000599A" w:rsidRPr="00CD3470">
                              <w:rPr>
                                <w:rFonts w:ascii="Arial" w:hAnsi="Arial" w:cs="Arial"/>
                                <w:b/>
                                <w:sz w:val="48"/>
                                <w:szCs w:val="48"/>
                              </w:rPr>
                              <w:t>s</w:t>
                            </w:r>
                            <w:r w:rsidRPr="00CD3470">
                              <w:rPr>
                                <w:rFonts w:ascii="Arial" w:hAnsi="Arial" w:cs="Arial"/>
                                <w:b/>
                                <w:sz w:val="48"/>
                                <w:szCs w:val="48"/>
                              </w:rPr>
                              <w:t xml:space="preserve">tate </w:t>
                            </w:r>
                            <w:r w:rsidR="0000599A" w:rsidRPr="00CD3470">
                              <w:rPr>
                                <w:rFonts w:ascii="Arial" w:hAnsi="Arial" w:cs="Arial"/>
                                <w:b/>
                                <w:sz w:val="48"/>
                                <w:szCs w:val="48"/>
                              </w:rPr>
                              <w:t>e</w:t>
                            </w:r>
                            <w:r w:rsidRPr="00CD3470">
                              <w:rPr>
                                <w:rFonts w:ascii="Arial" w:hAnsi="Arial" w:cs="Arial"/>
                                <w:b/>
                                <w:sz w:val="48"/>
                                <w:szCs w:val="48"/>
                              </w:rPr>
                              <w:t>ducation</w:t>
                            </w:r>
                          </w:p>
                          <w:p w14:paraId="4592C801" w14:textId="77777777" w:rsidR="00C01064" w:rsidRPr="00CD3470" w:rsidRDefault="00C01064">
                            <w:pPr>
                              <w:rPr>
                                <w:rFonts w:ascii="Arial" w:hAnsi="Arial" w:cs="Arial"/>
                                <w:sz w:val="84"/>
                                <w:szCs w:val="8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737F" id="_x0000_t202" coordsize="21600,21600" o:spt="202" path="m,l,21600r21600,l21600,xe">
                <v:stroke joinstyle="miter"/>
                <v:path gradientshapeok="t" o:connecttype="rect"/>
              </v:shapetype>
              <v:shape id="Text Box 4" o:spid="_x0000_s1026" type="#_x0000_t202" style="position:absolute;margin-left:-9.25pt;margin-top:-22.05pt;width:553.7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xtA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" filled="f" stroked="f">
                <v:textbox>
                  <w:txbxContent>
                    <w:p w14:paraId="3A8CC5F3" w14:textId="41A16E6D" w:rsidR="00445F97" w:rsidRPr="00CD3470" w:rsidRDefault="002F44D2" w:rsidP="00445F97">
                      <w:pPr>
                        <w:rPr>
                          <w:rFonts w:ascii="Arial" w:hAnsi="Arial" w:cs="Arial"/>
                          <w:b/>
                          <w:sz w:val="40"/>
                          <w:szCs w:val="40"/>
                        </w:rPr>
                      </w:pPr>
                      <w:r w:rsidRPr="00CD3470">
                        <w:rPr>
                          <w:rFonts w:ascii="Arial" w:hAnsi="Arial" w:cs="Arial"/>
                          <w:b/>
                          <w:sz w:val="48"/>
                          <w:szCs w:val="48"/>
                        </w:rPr>
                        <w:t xml:space="preserve">Guidelines for </w:t>
                      </w:r>
                      <w:r w:rsidR="00705FA6" w:rsidRPr="00CD3470">
                        <w:rPr>
                          <w:rFonts w:ascii="Arial" w:hAnsi="Arial" w:cs="Arial"/>
                          <w:b/>
                          <w:sz w:val="48"/>
                          <w:szCs w:val="48"/>
                        </w:rPr>
                        <w:t xml:space="preserve">the </w:t>
                      </w:r>
                      <w:r w:rsidR="0000599A" w:rsidRPr="00CD3470">
                        <w:rPr>
                          <w:rFonts w:ascii="Arial" w:hAnsi="Arial" w:cs="Arial"/>
                          <w:b/>
                          <w:sz w:val="48"/>
                          <w:szCs w:val="48"/>
                        </w:rPr>
                        <w:t>a</w:t>
                      </w:r>
                      <w:r w:rsidRPr="00CD3470">
                        <w:rPr>
                          <w:rFonts w:ascii="Arial" w:hAnsi="Arial" w:cs="Arial"/>
                          <w:b/>
                          <w:sz w:val="48"/>
                          <w:szCs w:val="48"/>
                        </w:rPr>
                        <w:t xml:space="preserve">llocation </w:t>
                      </w:r>
                      <w:r w:rsidR="00BC2520" w:rsidRPr="00CD3470">
                        <w:rPr>
                          <w:rFonts w:ascii="Arial" w:hAnsi="Arial" w:cs="Arial"/>
                          <w:b/>
                          <w:sz w:val="48"/>
                          <w:szCs w:val="48"/>
                        </w:rPr>
                        <w:t>of</w:t>
                      </w:r>
                      <w:r w:rsidRPr="00CD3470">
                        <w:rPr>
                          <w:rFonts w:ascii="Arial" w:hAnsi="Arial" w:cs="Arial"/>
                          <w:b/>
                          <w:sz w:val="48"/>
                          <w:szCs w:val="48"/>
                        </w:rPr>
                        <w:t xml:space="preserve"> </w:t>
                      </w:r>
                      <w:r w:rsidR="0000599A" w:rsidRPr="00CD3470">
                        <w:rPr>
                          <w:rFonts w:ascii="Arial" w:hAnsi="Arial" w:cs="Arial"/>
                          <w:b/>
                          <w:sz w:val="48"/>
                          <w:szCs w:val="48"/>
                        </w:rPr>
                        <w:t>s</w:t>
                      </w:r>
                      <w:r w:rsidRPr="00CD3470">
                        <w:rPr>
                          <w:rFonts w:ascii="Arial" w:hAnsi="Arial" w:cs="Arial"/>
                          <w:b/>
                          <w:sz w:val="48"/>
                          <w:szCs w:val="48"/>
                        </w:rPr>
                        <w:t xml:space="preserve">tate </w:t>
                      </w:r>
                      <w:r w:rsidR="0000599A" w:rsidRPr="00CD3470">
                        <w:rPr>
                          <w:rFonts w:ascii="Arial" w:hAnsi="Arial" w:cs="Arial"/>
                          <w:b/>
                          <w:sz w:val="48"/>
                          <w:szCs w:val="48"/>
                        </w:rPr>
                        <w:t>e</w:t>
                      </w:r>
                      <w:r w:rsidRPr="00CD3470">
                        <w:rPr>
                          <w:rFonts w:ascii="Arial" w:hAnsi="Arial" w:cs="Arial"/>
                          <w:b/>
                          <w:sz w:val="48"/>
                          <w:szCs w:val="48"/>
                        </w:rPr>
                        <w:t>ducation</w:t>
                      </w:r>
                    </w:p>
                    <w:p w14:paraId="4592C801" w14:textId="77777777" w:rsidR="00C01064" w:rsidRPr="00CD3470" w:rsidRDefault="00C01064">
                      <w:pPr>
                        <w:rPr>
                          <w:rFonts w:ascii="Arial" w:hAnsi="Arial" w:cs="Arial"/>
                          <w:sz w:val="84"/>
                          <w:szCs w:val="84"/>
                        </w:rPr>
                      </w:pPr>
                    </w:p>
                  </w:txbxContent>
                </v:textbox>
              </v:shape>
            </w:pict>
          </mc:Fallback>
        </mc:AlternateContent>
      </w:r>
    </w:p>
    <w:p w14:paraId="455326CC" w14:textId="4A4AB312" w:rsidR="00DE0B2A" w:rsidRPr="00DE0B2A" w:rsidRDefault="003B6C57" w:rsidP="002F44D2">
      <w:pPr>
        <w:pStyle w:val="Heading2"/>
        <w:spacing w:before="0" w:after="0" w:line="240" w:lineRule="auto"/>
        <w:rPr>
          <w:rFonts w:cs="Arial"/>
          <w:i/>
          <w:sz w:val="24"/>
          <w:szCs w:val="24"/>
        </w:rPr>
      </w:pPr>
      <w:r>
        <w:rPr>
          <w:sz w:val="16"/>
          <w:szCs w:val="16"/>
        </w:rPr>
        <w:br/>
      </w:r>
      <w:r w:rsidR="00DE0B2A">
        <w:rPr>
          <w:rFonts w:cs="Arial"/>
          <w:i/>
          <w:sz w:val="24"/>
          <w:szCs w:val="24"/>
        </w:rPr>
        <w:t xml:space="preserve">***NOTE: These guidelines should be used in conjunction with the </w:t>
      </w:r>
      <w:hyperlink r:id="rId11" w:history="1">
        <w:r w:rsidR="00DE0B2A" w:rsidRPr="00DE0B2A">
          <w:rPr>
            <w:rStyle w:val="Hyperlink"/>
            <w:rFonts w:cs="Arial"/>
            <w:i/>
            <w:sz w:val="24"/>
            <w:szCs w:val="24"/>
          </w:rPr>
          <w:t>Allocation of State Education</w:t>
        </w:r>
      </w:hyperlink>
      <w:r w:rsidR="00DE0B2A">
        <w:rPr>
          <w:rFonts w:cs="Arial"/>
          <w:i/>
          <w:sz w:val="24"/>
          <w:szCs w:val="24"/>
        </w:rPr>
        <w:t xml:space="preserve"> procedure***</w:t>
      </w:r>
    </w:p>
    <w:p w14:paraId="154D06AE" w14:textId="77777777" w:rsidR="00DE0B2A" w:rsidRDefault="00DE0B2A" w:rsidP="00CD3470"/>
    <w:p w14:paraId="7C2B0A2B" w14:textId="22042D5D" w:rsidR="002F44D2" w:rsidRPr="00052E91" w:rsidRDefault="002F44D2" w:rsidP="002F44D2">
      <w:pPr>
        <w:pStyle w:val="Heading2"/>
        <w:spacing w:before="0" w:after="0" w:line="240" w:lineRule="auto"/>
        <w:rPr>
          <w:rFonts w:cs="Arial"/>
          <w:b/>
          <w:sz w:val="24"/>
          <w:szCs w:val="24"/>
        </w:rPr>
      </w:pPr>
      <w:r w:rsidRPr="00052E91">
        <w:rPr>
          <w:rFonts w:cs="Arial"/>
          <w:b/>
          <w:sz w:val="24"/>
          <w:szCs w:val="24"/>
        </w:rPr>
        <w:t>Calculating remaining allocations</w:t>
      </w:r>
    </w:p>
    <w:tbl>
      <w:tblPr>
        <w:tblpPr w:leftFromText="180" w:rightFromText="180" w:vertAnchor="text" w:horzAnchor="margin"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439"/>
        <w:gridCol w:w="439"/>
        <w:gridCol w:w="439"/>
        <w:gridCol w:w="439"/>
        <w:gridCol w:w="439"/>
        <w:gridCol w:w="439"/>
        <w:gridCol w:w="439"/>
        <w:gridCol w:w="439"/>
        <w:gridCol w:w="439"/>
        <w:gridCol w:w="439"/>
        <w:gridCol w:w="439"/>
        <w:gridCol w:w="439"/>
        <w:gridCol w:w="439"/>
        <w:gridCol w:w="439"/>
        <w:gridCol w:w="439"/>
        <w:gridCol w:w="439"/>
        <w:gridCol w:w="439"/>
        <w:gridCol w:w="328"/>
        <w:gridCol w:w="328"/>
        <w:gridCol w:w="328"/>
        <w:gridCol w:w="328"/>
        <w:gridCol w:w="328"/>
        <w:gridCol w:w="328"/>
        <w:gridCol w:w="328"/>
        <w:gridCol w:w="328"/>
        <w:gridCol w:w="328"/>
      </w:tblGrid>
      <w:tr w:rsidR="002F44D2" w:rsidRPr="002F44D2" w14:paraId="569E75FD" w14:textId="77777777" w:rsidTr="00BC2520">
        <w:trPr>
          <w:trHeight w:val="163"/>
        </w:trPr>
        <w:tc>
          <w:tcPr>
            <w:tcW w:w="0" w:type="auto"/>
            <w:vAlign w:val="bottom"/>
          </w:tcPr>
          <w:p w14:paraId="1A320F41" w14:textId="77777777" w:rsidR="002F44D2" w:rsidRPr="002F44D2" w:rsidRDefault="002F44D2" w:rsidP="00BC2520">
            <w:pPr>
              <w:rPr>
                <w:rFonts w:ascii="Arial" w:hAnsi="Arial" w:cs="Arial"/>
                <w:b/>
                <w:sz w:val="20"/>
                <w:szCs w:val="20"/>
              </w:rPr>
            </w:pPr>
            <w:r w:rsidRPr="002F44D2">
              <w:rPr>
                <w:rFonts w:ascii="Arial" w:hAnsi="Arial" w:cs="Arial"/>
                <w:b/>
                <w:sz w:val="20"/>
                <w:szCs w:val="20"/>
              </w:rPr>
              <w:t>Year Level</w:t>
            </w:r>
          </w:p>
        </w:tc>
        <w:tc>
          <w:tcPr>
            <w:tcW w:w="0" w:type="auto"/>
            <w:gridSpan w:val="2"/>
          </w:tcPr>
          <w:p w14:paraId="0D7FFF5E"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Prep</w:t>
            </w:r>
          </w:p>
        </w:tc>
        <w:tc>
          <w:tcPr>
            <w:tcW w:w="0" w:type="auto"/>
            <w:gridSpan w:val="2"/>
            <w:noWrap/>
            <w:vAlign w:val="bottom"/>
          </w:tcPr>
          <w:p w14:paraId="027468F5"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46EB2E22"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1</w:t>
            </w:r>
          </w:p>
        </w:tc>
        <w:tc>
          <w:tcPr>
            <w:tcW w:w="0" w:type="auto"/>
            <w:gridSpan w:val="2"/>
            <w:noWrap/>
            <w:vAlign w:val="bottom"/>
          </w:tcPr>
          <w:p w14:paraId="4755B1DC"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3D9517CB"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2</w:t>
            </w:r>
          </w:p>
        </w:tc>
        <w:tc>
          <w:tcPr>
            <w:tcW w:w="0" w:type="auto"/>
            <w:gridSpan w:val="2"/>
            <w:noWrap/>
            <w:vAlign w:val="bottom"/>
          </w:tcPr>
          <w:p w14:paraId="1BBE9C8B"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7A883325"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3</w:t>
            </w:r>
          </w:p>
        </w:tc>
        <w:tc>
          <w:tcPr>
            <w:tcW w:w="0" w:type="auto"/>
            <w:gridSpan w:val="2"/>
            <w:noWrap/>
            <w:vAlign w:val="bottom"/>
          </w:tcPr>
          <w:p w14:paraId="561F0A8D"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7FE4A3A7"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4</w:t>
            </w:r>
          </w:p>
        </w:tc>
        <w:tc>
          <w:tcPr>
            <w:tcW w:w="0" w:type="auto"/>
            <w:gridSpan w:val="2"/>
            <w:noWrap/>
            <w:vAlign w:val="bottom"/>
          </w:tcPr>
          <w:p w14:paraId="0167351C"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6F6D14F6"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5</w:t>
            </w:r>
          </w:p>
        </w:tc>
        <w:tc>
          <w:tcPr>
            <w:tcW w:w="0" w:type="auto"/>
            <w:gridSpan w:val="2"/>
            <w:noWrap/>
            <w:vAlign w:val="bottom"/>
          </w:tcPr>
          <w:p w14:paraId="46CA1E80"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5300E08D"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6</w:t>
            </w:r>
          </w:p>
        </w:tc>
        <w:tc>
          <w:tcPr>
            <w:tcW w:w="0" w:type="auto"/>
            <w:gridSpan w:val="2"/>
            <w:noWrap/>
            <w:vAlign w:val="bottom"/>
          </w:tcPr>
          <w:p w14:paraId="63B36912"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74D2CE4C"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7</w:t>
            </w:r>
          </w:p>
        </w:tc>
        <w:tc>
          <w:tcPr>
            <w:tcW w:w="0" w:type="auto"/>
            <w:gridSpan w:val="2"/>
            <w:noWrap/>
            <w:vAlign w:val="bottom"/>
          </w:tcPr>
          <w:p w14:paraId="564135FD"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1EC118D5"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8</w:t>
            </w:r>
          </w:p>
        </w:tc>
        <w:tc>
          <w:tcPr>
            <w:tcW w:w="0" w:type="auto"/>
            <w:gridSpan w:val="2"/>
            <w:noWrap/>
            <w:vAlign w:val="bottom"/>
          </w:tcPr>
          <w:p w14:paraId="70E268C3"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Year</w:t>
            </w:r>
          </w:p>
          <w:p w14:paraId="38D9E253"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9</w:t>
            </w:r>
          </w:p>
        </w:tc>
        <w:tc>
          <w:tcPr>
            <w:tcW w:w="0" w:type="auto"/>
            <w:gridSpan w:val="2"/>
            <w:noWrap/>
            <w:vAlign w:val="bottom"/>
          </w:tcPr>
          <w:p w14:paraId="19CC49C5"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 xml:space="preserve">Year </w:t>
            </w:r>
          </w:p>
          <w:p w14:paraId="4D36C635"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10</w:t>
            </w:r>
          </w:p>
        </w:tc>
        <w:tc>
          <w:tcPr>
            <w:tcW w:w="0" w:type="auto"/>
            <w:gridSpan w:val="2"/>
            <w:noWrap/>
            <w:vAlign w:val="bottom"/>
          </w:tcPr>
          <w:p w14:paraId="495ECF92"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 xml:space="preserve">Year </w:t>
            </w:r>
          </w:p>
          <w:p w14:paraId="554DF898"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11</w:t>
            </w:r>
          </w:p>
        </w:tc>
        <w:tc>
          <w:tcPr>
            <w:tcW w:w="0" w:type="auto"/>
            <w:gridSpan w:val="2"/>
            <w:noWrap/>
            <w:vAlign w:val="bottom"/>
          </w:tcPr>
          <w:p w14:paraId="2B46AFEB"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 xml:space="preserve">Year </w:t>
            </w:r>
          </w:p>
          <w:p w14:paraId="51D795E6" w14:textId="77777777" w:rsidR="002F44D2" w:rsidRPr="002F44D2" w:rsidRDefault="002F44D2" w:rsidP="00BC2520">
            <w:pPr>
              <w:jc w:val="center"/>
              <w:rPr>
                <w:rFonts w:ascii="Arial" w:hAnsi="Arial" w:cs="Arial"/>
                <w:b/>
                <w:sz w:val="20"/>
                <w:szCs w:val="20"/>
              </w:rPr>
            </w:pPr>
            <w:r w:rsidRPr="002F44D2">
              <w:rPr>
                <w:rFonts w:ascii="Arial" w:hAnsi="Arial" w:cs="Arial"/>
                <w:b/>
                <w:sz w:val="20"/>
                <w:szCs w:val="20"/>
              </w:rPr>
              <w:t>12</w:t>
            </w:r>
          </w:p>
        </w:tc>
      </w:tr>
      <w:tr w:rsidR="002F44D2" w:rsidRPr="002F44D2" w14:paraId="5EC7CECD" w14:textId="77777777" w:rsidTr="00BC2520">
        <w:trPr>
          <w:trHeight w:val="325"/>
        </w:trPr>
        <w:tc>
          <w:tcPr>
            <w:tcW w:w="0" w:type="auto"/>
            <w:vAlign w:val="bottom"/>
          </w:tcPr>
          <w:p w14:paraId="18215829" w14:textId="69161626" w:rsidR="002F44D2" w:rsidRPr="002F44D2" w:rsidRDefault="002F44D2" w:rsidP="00BC2520">
            <w:pPr>
              <w:rPr>
                <w:rFonts w:ascii="Arial" w:hAnsi="Arial" w:cs="Arial"/>
                <w:b/>
                <w:sz w:val="20"/>
                <w:szCs w:val="20"/>
              </w:rPr>
            </w:pPr>
            <w:r w:rsidRPr="002F44D2">
              <w:rPr>
                <w:rFonts w:ascii="Arial" w:hAnsi="Arial" w:cs="Arial"/>
                <w:b/>
                <w:sz w:val="20"/>
                <w:szCs w:val="20"/>
              </w:rPr>
              <w:t xml:space="preserve">Remaining </w:t>
            </w:r>
            <w:r w:rsidR="00705FA6">
              <w:rPr>
                <w:rFonts w:ascii="Arial" w:hAnsi="Arial" w:cs="Arial"/>
                <w:b/>
                <w:sz w:val="20"/>
                <w:szCs w:val="20"/>
              </w:rPr>
              <w:t xml:space="preserve">allocation </w:t>
            </w:r>
            <w:r w:rsidRPr="002F44D2">
              <w:rPr>
                <w:rFonts w:ascii="Arial" w:hAnsi="Arial" w:cs="Arial"/>
                <w:b/>
                <w:sz w:val="20"/>
                <w:szCs w:val="20"/>
              </w:rPr>
              <w:t>(Semester 1</w:t>
            </w:r>
            <w:r w:rsidRPr="002F44D2">
              <w:rPr>
                <w:rFonts w:ascii="Arial" w:hAnsi="Arial" w:cs="Arial"/>
                <w:b/>
                <w:sz w:val="20"/>
                <w:szCs w:val="20"/>
              </w:rPr>
              <w:sym w:font="Symbol" w:char="F0BD"/>
            </w:r>
            <w:r w:rsidRPr="002F44D2">
              <w:rPr>
                <w:rFonts w:ascii="Arial" w:hAnsi="Arial" w:cs="Arial"/>
                <w:b/>
                <w:sz w:val="20"/>
                <w:szCs w:val="20"/>
              </w:rPr>
              <w:t>Semester2)</w:t>
            </w:r>
          </w:p>
        </w:tc>
        <w:tc>
          <w:tcPr>
            <w:tcW w:w="0" w:type="auto"/>
            <w:vAlign w:val="bottom"/>
          </w:tcPr>
          <w:p w14:paraId="523FC9ED" w14:textId="77777777" w:rsidR="002F44D2" w:rsidRPr="002F44D2" w:rsidRDefault="002F44D2" w:rsidP="00BC2520">
            <w:pPr>
              <w:rPr>
                <w:rFonts w:ascii="Arial" w:hAnsi="Arial" w:cs="Arial"/>
                <w:sz w:val="20"/>
                <w:szCs w:val="20"/>
              </w:rPr>
            </w:pPr>
            <w:r w:rsidRPr="002F44D2">
              <w:rPr>
                <w:rFonts w:ascii="Arial" w:hAnsi="Arial" w:cs="Arial"/>
                <w:sz w:val="20"/>
                <w:szCs w:val="20"/>
              </w:rPr>
              <w:t>26</w:t>
            </w:r>
          </w:p>
        </w:tc>
        <w:tc>
          <w:tcPr>
            <w:tcW w:w="0" w:type="auto"/>
            <w:vAlign w:val="bottom"/>
          </w:tcPr>
          <w:p w14:paraId="7432694D" w14:textId="77777777" w:rsidR="002F44D2" w:rsidRPr="002F44D2" w:rsidRDefault="002F44D2" w:rsidP="00BC2520">
            <w:pPr>
              <w:rPr>
                <w:rFonts w:ascii="Arial" w:hAnsi="Arial" w:cs="Arial"/>
                <w:sz w:val="20"/>
                <w:szCs w:val="20"/>
              </w:rPr>
            </w:pPr>
            <w:r w:rsidRPr="002F44D2">
              <w:rPr>
                <w:rFonts w:ascii="Arial" w:hAnsi="Arial" w:cs="Arial"/>
                <w:sz w:val="20"/>
                <w:szCs w:val="20"/>
              </w:rPr>
              <w:t>25</w:t>
            </w:r>
          </w:p>
        </w:tc>
        <w:tc>
          <w:tcPr>
            <w:tcW w:w="0" w:type="auto"/>
            <w:noWrap/>
            <w:vAlign w:val="bottom"/>
          </w:tcPr>
          <w:p w14:paraId="4CFEB7DE" w14:textId="77777777" w:rsidR="002F44D2" w:rsidRPr="002F44D2" w:rsidRDefault="002F44D2" w:rsidP="00BC2520">
            <w:pPr>
              <w:jc w:val="right"/>
              <w:rPr>
                <w:rFonts w:ascii="Arial" w:hAnsi="Arial" w:cs="Arial"/>
                <w:sz w:val="20"/>
                <w:szCs w:val="20"/>
              </w:rPr>
            </w:pPr>
            <w:r w:rsidRPr="002F44D2">
              <w:rPr>
                <w:rFonts w:ascii="Arial" w:hAnsi="Arial" w:cs="Arial"/>
                <w:sz w:val="20"/>
                <w:szCs w:val="20"/>
              </w:rPr>
              <w:t>24</w:t>
            </w:r>
          </w:p>
        </w:tc>
        <w:tc>
          <w:tcPr>
            <w:tcW w:w="0" w:type="auto"/>
            <w:noWrap/>
            <w:vAlign w:val="bottom"/>
          </w:tcPr>
          <w:p w14:paraId="62E09417" w14:textId="77777777" w:rsidR="002F44D2" w:rsidRPr="002F44D2" w:rsidRDefault="002F44D2" w:rsidP="00BC2520">
            <w:pPr>
              <w:rPr>
                <w:rFonts w:ascii="Arial" w:hAnsi="Arial" w:cs="Arial"/>
                <w:sz w:val="20"/>
                <w:szCs w:val="20"/>
              </w:rPr>
            </w:pPr>
            <w:r w:rsidRPr="002F44D2">
              <w:rPr>
                <w:rFonts w:ascii="Arial" w:hAnsi="Arial" w:cs="Arial"/>
                <w:sz w:val="20"/>
                <w:szCs w:val="20"/>
              </w:rPr>
              <w:t>23</w:t>
            </w:r>
          </w:p>
        </w:tc>
        <w:tc>
          <w:tcPr>
            <w:tcW w:w="0" w:type="auto"/>
            <w:noWrap/>
            <w:vAlign w:val="bottom"/>
          </w:tcPr>
          <w:p w14:paraId="5C9E2B64" w14:textId="77777777" w:rsidR="002F44D2" w:rsidRPr="002F44D2" w:rsidRDefault="002F44D2" w:rsidP="00BC2520">
            <w:pPr>
              <w:rPr>
                <w:rFonts w:ascii="Arial" w:hAnsi="Arial" w:cs="Arial"/>
                <w:sz w:val="20"/>
                <w:szCs w:val="20"/>
              </w:rPr>
            </w:pPr>
            <w:r w:rsidRPr="002F44D2">
              <w:rPr>
                <w:rFonts w:ascii="Arial" w:hAnsi="Arial" w:cs="Arial"/>
                <w:sz w:val="20"/>
                <w:szCs w:val="20"/>
              </w:rPr>
              <w:t>22</w:t>
            </w:r>
          </w:p>
        </w:tc>
        <w:tc>
          <w:tcPr>
            <w:tcW w:w="0" w:type="auto"/>
            <w:noWrap/>
            <w:vAlign w:val="bottom"/>
          </w:tcPr>
          <w:p w14:paraId="3AF390E4" w14:textId="77777777" w:rsidR="002F44D2" w:rsidRPr="002F44D2" w:rsidRDefault="002F44D2" w:rsidP="00BC2520">
            <w:pPr>
              <w:rPr>
                <w:rFonts w:ascii="Arial" w:hAnsi="Arial" w:cs="Arial"/>
                <w:sz w:val="20"/>
                <w:szCs w:val="20"/>
              </w:rPr>
            </w:pPr>
            <w:r w:rsidRPr="002F44D2">
              <w:rPr>
                <w:rFonts w:ascii="Arial" w:hAnsi="Arial" w:cs="Arial"/>
                <w:sz w:val="20"/>
                <w:szCs w:val="20"/>
              </w:rPr>
              <w:t>21</w:t>
            </w:r>
          </w:p>
        </w:tc>
        <w:tc>
          <w:tcPr>
            <w:tcW w:w="0" w:type="auto"/>
            <w:noWrap/>
            <w:vAlign w:val="bottom"/>
          </w:tcPr>
          <w:p w14:paraId="2D0A5472" w14:textId="77777777" w:rsidR="002F44D2" w:rsidRPr="002F44D2" w:rsidRDefault="002F44D2" w:rsidP="00BC2520">
            <w:pPr>
              <w:rPr>
                <w:rFonts w:ascii="Arial" w:hAnsi="Arial" w:cs="Arial"/>
                <w:sz w:val="20"/>
                <w:szCs w:val="20"/>
              </w:rPr>
            </w:pPr>
            <w:r w:rsidRPr="002F44D2">
              <w:rPr>
                <w:rFonts w:ascii="Arial" w:hAnsi="Arial" w:cs="Arial"/>
                <w:sz w:val="20"/>
                <w:szCs w:val="20"/>
              </w:rPr>
              <w:t>20</w:t>
            </w:r>
          </w:p>
        </w:tc>
        <w:tc>
          <w:tcPr>
            <w:tcW w:w="0" w:type="auto"/>
            <w:noWrap/>
            <w:vAlign w:val="bottom"/>
          </w:tcPr>
          <w:p w14:paraId="0056562F" w14:textId="77777777" w:rsidR="002F44D2" w:rsidRPr="002F44D2" w:rsidRDefault="002F44D2" w:rsidP="00BC2520">
            <w:pPr>
              <w:rPr>
                <w:rFonts w:ascii="Arial" w:hAnsi="Arial" w:cs="Arial"/>
                <w:sz w:val="20"/>
                <w:szCs w:val="20"/>
              </w:rPr>
            </w:pPr>
            <w:r w:rsidRPr="002F44D2">
              <w:rPr>
                <w:rFonts w:ascii="Arial" w:hAnsi="Arial" w:cs="Arial"/>
                <w:sz w:val="20"/>
                <w:szCs w:val="20"/>
              </w:rPr>
              <w:t>19</w:t>
            </w:r>
          </w:p>
        </w:tc>
        <w:tc>
          <w:tcPr>
            <w:tcW w:w="0" w:type="auto"/>
            <w:noWrap/>
            <w:vAlign w:val="bottom"/>
          </w:tcPr>
          <w:p w14:paraId="0B350878" w14:textId="77777777" w:rsidR="002F44D2" w:rsidRPr="002F44D2" w:rsidRDefault="002F44D2" w:rsidP="00BC2520">
            <w:pPr>
              <w:rPr>
                <w:rFonts w:ascii="Arial" w:hAnsi="Arial" w:cs="Arial"/>
                <w:sz w:val="20"/>
                <w:szCs w:val="20"/>
              </w:rPr>
            </w:pPr>
            <w:r w:rsidRPr="002F44D2">
              <w:rPr>
                <w:rFonts w:ascii="Arial" w:hAnsi="Arial" w:cs="Arial"/>
                <w:sz w:val="20"/>
                <w:szCs w:val="20"/>
              </w:rPr>
              <w:t>18</w:t>
            </w:r>
          </w:p>
        </w:tc>
        <w:tc>
          <w:tcPr>
            <w:tcW w:w="0" w:type="auto"/>
            <w:noWrap/>
            <w:vAlign w:val="bottom"/>
          </w:tcPr>
          <w:p w14:paraId="0C928A56" w14:textId="77777777" w:rsidR="002F44D2" w:rsidRPr="002F44D2" w:rsidRDefault="002F44D2" w:rsidP="00BC2520">
            <w:pPr>
              <w:rPr>
                <w:rFonts w:ascii="Arial" w:hAnsi="Arial" w:cs="Arial"/>
                <w:sz w:val="20"/>
                <w:szCs w:val="20"/>
              </w:rPr>
            </w:pPr>
            <w:r w:rsidRPr="002F44D2">
              <w:rPr>
                <w:rFonts w:ascii="Arial" w:hAnsi="Arial" w:cs="Arial"/>
                <w:sz w:val="20"/>
                <w:szCs w:val="20"/>
              </w:rPr>
              <w:t>17</w:t>
            </w:r>
          </w:p>
        </w:tc>
        <w:tc>
          <w:tcPr>
            <w:tcW w:w="0" w:type="auto"/>
            <w:noWrap/>
            <w:vAlign w:val="bottom"/>
          </w:tcPr>
          <w:p w14:paraId="6CD1C392" w14:textId="77777777" w:rsidR="002F44D2" w:rsidRPr="002F44D2" w:rsidRDefault="002F44D2" w:rsidP="00BC2520">
            <w:pPr>
              <w:rPr>
                <w:rFonts w:ascii="Arial" w:hAnsi="Arial" w:cs="Arial"/>
                <w:sz w:val="20"/>
                <w:szCs w:val="20"/>
              </w:rPr>
            </w:pPr>
            <w:r w:rsidRPr="002F44D2">
              <w:rPr>
                <w:rFonts w:ascii="Arial" w:hAnsi="Arial" w:cs="Arial"/>
                <w:sz w:val="20"/>
                <w:szCs w:val="20"/>
              </w:rPr>
              <w:t>16</w:t>
            </w:r>
          </w:p>
        </w:tc>
        <w:tc>
          <w:tcPr>
            <w:tcW w:w="0" w:type="auto"/>
            <w:noWrap/>
            <w:vAlign w:val="bottom"/>
          </w:tcPr>
          <w:p w14:paraId="4648ADC8" w14:textId="77777777" w:rsidR="002F44D2" w:rsidRPr="002F44D2" w:rsidRDefault="002F44D2" w:rsidP="00BC2520">
            <w:pPr>
              <w:rPr>
                <w:rFonts w:ascii="Arial" w:hAnsi="Arial" w:cs="Arial"/>
                <w:sz w:val="20"/>
                <w:szCs w:val="20"/>
              </w:rPr>
            </w:pPr>
            <w:r w:rsidRPr="002F44D2">
              <w:rPr>
                <w:rFonts w:ascii="Arial" w:hAnsi="Arial" w:cs="Arial"/>
                <w:sz w:val="20"/>
                <w:szCs w:val="20"/>
              </w:rPr>
              <w:t>15</w:t>
            </w:r>
          </w:p>
        </w:tc>
        <w:tc>
          <w:tcPr>
            <w:tcW w:w="0" w:type="auto"/>
            <w:noWrap/>
            <w:vAlign w:val="bottom"/>
          </w:tcPr>
          <w:p w14:paraId="6D3F9A42" w14:textId="77777777" w:rsidR="002F44D2" w:rsidRPr="002F44D2" w:rsidRDefault="002F44D2" w:rsidP="00BC2520">
            <w:pPr>
              <w:rPr>
                <w:rFonts w:ascii="Arial" w:hAnsi="Arial" w:cs="Arial"/>
                <w:sz w:val="20"/>
                <w:szCs w:val="20"/>
              </w:rPr>
            </w:pPr>
            <w:r w:rsidRPr="002F44D2">
              <w:rPr>
                <w:rFonts w:ascii="Arial" w:hAnsi="Arial" w:cs="Arial"/>
                <w:sz w:val="20"/>
                <w:szCs w:val="20"/>
              </w:rPr>
              <w:t>14</w:t>
            </w:r>
          </w:p>
        </w:tc>
        <w:tc>
          <w:tcPr>
            <w:tcW w:w="0" w:type="auto"/>
            <w:noWrap/>
            <w:vAlign w:val="bottom"/>
          </w:tcPr>
          <w:p w14:paraId="3C0DD68E" w14:textId="77777777" w:rsidR="002F44D2" w:rsidRPr="002F44D2" w:rsidRDefault="002F44D2" w:rsidP="00BC2520">
            <w:pPr>
              <w:rPr>
                <w:rFonts w:ascii="Arial" w:hAnsi="Arial" w:cs="Arial"/>
                <w:sz w:val="20"/>
                <w:szCs w:val="20"/>
              </w:rPr>
            </w:pPr>
            <w:r w:rsidRPr="002F44D2">
              <w:rPr>
                <w:rFonts w:ascii="Arial" w:hAnsi="Arial" w:cs="Arial"/>
                <w:sz w:val="20"/>
                <w:szCs w:val="20"/>
              </w:rPr>
              <w:t>13</w:t>
            </w:r>
          </w:p>
        </w:tc>
        <w:tc>
          <w:tcPr>
            <w:tcW w:w="0" w:type="auto"/>
            <w:noWrap/>
            <w:vAlign w:val="bottom"/>
          </w:tcPr>
          <w:p w14:paraId="79ECD3BC" w14:textId="77777777" w:rsidR="002F44D2" w:rsidRPr="002F44D2" w:rsidRDefault="002F44D2" w:rsidP="00BC2520">
            <w:pPr>
              <w:rPr>
                <w:rFonts w:ascii="Arial" w:hAnsi="Arial" w:cs="Arial"/>
                <w:sz w:val="20"/>
                <w:szCs w:val="20"/>
              </w:rPr>
            </w:pPr>
            <w:r w:rsidRPr="002F44D2">
              <w:rPr>
                <w:rFonts w:ascii="Arial" w:hAnsi="Arial" w:cs="Arial"/>
                <w:sz w:val="20"/>
                <w:szCs w:val="20"/>
              </w:rPr>
              <w:t>12</w:t>
            </w:r>
          </w:p>
        </w:tc>
        <w:tc>
          <w:tcPr>
            <w:tcW w:w="0" w:type="auto"/>
            <w:noWrap/>
            <w:vAlign w:val="bottom"/>
          </w:tcPr>
          <w:p w14:paraId="0D83BE73" w14:textId="77777777" w:rsidR="002F44D2" w:rsidRPr="002F44D2" w:rsidRDefault="002F44D2" w:rsidP="00BC2520">
            <w:pPr>
              <w:rPr>
                <w:rFonts w:ascii="Arial" w:hAnsi="Arial" w:cs="Arial"/>
                <w:sz w:val="20"/>
                <w:szCs w:val="20"/>
              </w:rPr>
            </w:pPr>
            <w:r w:rsidRPr="002F44D2">
              <w:rPr>
                <w:rFonts w:ascii="Arial" w:hAnsi="Arial" w:cs="Arial"/>
                <w:sz w:val="20"/>
                <w:szCs w:val="20"/>
              </w:rPr>
              <w:t>11</w:t>
            </w:r>
          </w:p>
        </w:tc>
        <w:tc>
          <w:tcPr>
            <w:tcW w:w="0" w:type="auto"/>
            <w:noWrap/>
            <w:vAlign w:val="bottom"/>
          </w:tcPr>
          <w:p w14:paraId="122DEBAA" w14:textId="77777777" w:rsidR="002F44D2" w:rsidRPr="002F44D2" w:rsidRDefault="002F44D2" w:rsidP="00BC2520">
            <w:pPr>
              <w:rPr>
                <w:rFonts w:ascii="Arial" w:hAnsi="Arial" w:cs="Arial"/>
                <w:sz w:val="20"/>
                <w:szCs w:val="20"/>
              </w:rPr>
            </w:pPr>
            <w:r w:rsidRPr="002F44D2">
              <w:rPr>
                <w:rFonts w:ascii="Arial" w:hAnsi="Arial" w:cs="Arial"/>
                <w:sz w:val="20"/>
                <w:szCs w:val="20"/>
              </w:rPr>
              <w:t>10</w:t>
            </w:r>
          </w:p>
        </w:tc>
        <w:tc>
          <w:tcPr>
            <w:tcW w:w="0" w:type="auto"/>
            <w:noWrap/>
            <w:vAlign w:val="bottom"/>
          </w:tcPr>
          <w:p w14:paraId="06B6A0D8" w14:textId="77777777" w:rsidR="002F44D2" w:rsidRPr="002F44D2" w:rsidRDefault="002F44D2" w:rsidP="00BC2520">
            <w:pPr>
              <w:rPr>
                <w:rFonts w:ascii="Arial" w:hAnsi="Arial" w:cs="Arial"/>
                <w:sz w:val="20"/>
                <w:szCs w:val="20"/>
              </w:rPr>
            </w:pPr>
            <w:r w:rsidRPr="002F44D2">
              <w:rPr>
                <w:rFonts w:ascii="Arial" w:hAnsi="Arial" w:cs="Arial"/>
                <w:sz w:val="20"/>
                <w:szCs w:val="20"/>
              </w:rPr>
              <w:t>9</w:t>
            </w:r>
          </w:p>
        </w:tc>
        <w:tc>
          <w:tcPr>
            <w:tcW w:w="0" w:type="auto"/>
            <w:noWrap/>
            <w:vAlign w:val="bottom"/>
          </w:tcPr>
          <w:p w14:paraId="274527E8" w14:textId="77777777" w:rsidR="002F44D2" w:rsidRPr="002F44D2" w:rsidRDefault="002F44D2" w:rsidP="00BC2520">
            <w:pPr>
              <w:rPr>
                <w:rFonts w:ascii="Arial" w:hAnsi="Arial" w:cs="Arial"/>
                <w:sz w:val="20"/>
                <w:szCs w:val="20"/>
              </w:rPr>
            </w:pPr>
            <w:r w:rsidRPr="002F44D2">
              <w:rPr>
                <w:rFonts w:ascii="Arial" w:hAnsi="Arial" w:cs="Arial"/>
                <w:sz w:val="20"/>
                <w:szCs w:val="20"/>
              </w:rPr>
              <w:t>8</w:t>
            </w:r>
          </w:p>
        </w:tc>
        <w:tc>
          <w:tcPr>
            <w:tcW w:w="0" w:type="auto"/>
            <w:noWrap/>
            <w:vAlign w:val="bottom"/>
          </w:tcPr>
          <w:p w14:paraId="2318B3EB" w14:textId="77777777" w:rsidR="002F44D2" w:rsidRPr="002F44D2" w:rsidRDefault="002F44D2" w:rsidP="00BC2520">
            <w:pPr>
              <w:rPr>
                <w:rFonts w:ascii="Arial" w:hAnsi="Arial" w:cs="Arial"/>
                <w:sz w:val="20"/>
                <w:szCs w:val="20"/>
              </w:rPr>
            </w:pPr>
            <w:r w:rsidRPr="002F44D2">
              <w:rPr>
                <w:rFonts w:ascii="Arial" w:hAnsi="Arial" w:cs="Arial"/>
                <w:sz w:val="20"/>
                <w:szCs w:val="20"/>
              </w:rPr>
              <w:t>7</w:t>
            </w:r>
          </w:p>
        </w:tc>
        <w:tc>
          <w:tcPr>
            <w:tcW w:w="0" w:type="auto"/>
            <w:noWrap/>
            <w:vAlign w:val="bottom"/>
          </w:tcPr>
          <w:p w14:paraId="05BB0089" w14:textId="77777777" w:rsidR="002F44D2" w:rsidRPr="002F44D2" w:rsidRDefault="002F44D2" w:rsidP="00BC2520">
            <w:pPr>
              <w:rPr>
                <w:rFonts w:ascii="Arial" w:hAnsi="Arial" w:cs="Arial"/>
                <w:sz w:val="20"/>
                <w:szCs w:val="20"/>
              </w:rPr>
            </w:pPr>
            <w:r w:rsidRPr="002F44D2">
              <w:rPr>
                <w:rFonts w:ascii="Arial" w:hAnsi="Arial" w:cs="Arial"/>
                <w:sz w:val="20"/>
                <w:szCs w:val="20"/>
              </w:rPr>
              <w:t>6</w:t>
            </w:r>
          </w:p>
        </w:tc>
        <w:tc>
          <w:tcPr>
            <w:tcW w:w="0" w:type="auto"/>
            <w:noWrap/>
            <w:vAlign w:val="bottom"/>
          </w:tcPr>
          <w:p w14:paraId="72104A27" w14:textId="77777777" w:rsidR="002F44D2" w:rsidRPr="002F44D2" w:rsidRDefault="002F44D2" w:rsidP="00BC2520">
            <w:pPr>
              <w:rPr>
                <w:rFonts w:ascii="Arial" w:hAnsi="Arial" w:cs="Arial"/>
                <w:sz w:val="20"/>
                <w:szCs w:val="20"/>
              </w:rPr>
            </w:pPr>
            <w:r w:rsidRPr="002F44D2">
              <w:rPr>
                <w:rFonts w:ascii="Arial" w:hAnsi="Arial" w:cs="Arial"/>
                <w:sz w:val="20"/>
                <w:szCs w:val="20"/>
              </w:rPr>
              <w:t>5</w:t>
            </w:r>
          </w:p>
        </w:tc>
        <w:tc>
          <w:tcPr>
            <w:tcW w:w="0" w:type="auto"/>
            <w:noWrap/>
            <w:vAlign w:val="bottom"/>
          </w:tcPr>
          <w:p w14:paraId="75F9B7D2" w14:textId="77777777" w:rsidR="002F44D2" w:rsidRPr="002F44D2" w:rsidRDefault="002F44D2" w:rsidP="00BC2520">
            <w:pPr>
              <w:rPr>
                <w:rFonts w:ascii="Arial" w:hAnsi="Arial" w:cs="Arial"/>
                <w:sz w:val="20"/>
                <w:szCs w:val="20"/>
              </w:rPr>
            </w:pPr>
            <w:r w:rsidRPr="002F44D2">
              <w:rPr>
                <w:rFonts w:ascii="Arial" w:hAnsi="Arial" w:cs="Arial"/>
                <w:sz w:val="20"/>
                <w:szCs w:val="20"/>
              </w:rPr>
              <w:t>4</w:t>
            </w:r>
          </w:p>
        </w:tc>
        <w:tc>
          <w:tcPr>
            <w:tcW w:w="0" w:type="auto"/>
            <w:noWrap/>
            <w:vAlign w:val="bottom"/>
          </w:tcPr>
          <w:p w14:paraId="080DE4A9" w14:textId="77777777" w:rsidR="002F44D2" w:rsidRPr="002F44D2" w:rsidRDefault="002F44D2" w:rsidP="00BC2520">
            <w:pPr>
              <w:rPr>
                <w:rFonts w:ascii="Arial" w:hAnsi="Arial" w:cs="Arial"/>
                <w:sz w:val="20"/>
                <w:szCs w:val="20"/>
              </w:rPr>
            </w:pPr>
            <w:r w:rsidRPr="002F44D2">
              <w:rPr>
                <w:rFonts w:ascii="Arial" w:hAnsi="Arial" w:cs="Arial"/>
                <w:sz w:val="20"/>
                <w:szCs w:val="20"/>
              </w:rPr>
              <w:t>3</w:t>
            </w:r>
          </w:p>
        </w:tc>
        <w:tc>
          <w:tcPr>
            <w:tcW w:w="0" w:type="auto"/>
            <w:noWrap/>
            <w:vAlign w:val="bottom"/>
          </w:tcPr>
          <w:p w14:paraId="1809D421" w14:textId="77777777" w:rsidR="002F44D2" w:rsidRPr="002F44D2" w:rsidRDefault="002F44D2" w:rsidP="00BC2520">
            <w:pPr>
              <w:rPr>
                <w:rFonts w:ascii="Arial" w:hAnsi="Arial" w:cs="Arial"/>
                <w:sz w:val="20"/>
                <w:szCs w:val="20"/>
              </w:rPr>
            </w:pPr>
            <w:r w:rsidRPr="002F44D2">
              <w:rPr>
                <w:rFonts w:ascii="Arial" w:hAnsi="Arial" w:cs="Arial"/>
                <w:sz w:val="20"/>
                <w:szCs w:val="20"/>
              </w:rPr>
              <w:t>2</w:t>
            </w:r>
          </w:p>
        </w:tc>
        <w:tc>
          <w:tcPr>
            <w:tcW w:w="0" w:type="auto"/>
            <w:noWrap/>
            <w:vAlign w:val="bottom"/>
          </w:tcPr>
          <w:p w14:paraId="4C1BBA53" w14:textId="77777777" w:rsidR="002F44D2" w:rsidRPr="002F44D2" w:rsidRDefault="002F44D2" w:rsidP="00BC2520">
            <w:pPr>
              <w:rPr>
                <w:rFonts w:ascii="Arial" w:hAnsi="Arial" w:cs="Arial"/>
                <w:sz w:val="20"/>
                <w:szCs w:val="20"/>
              </w:rPr>
            </w:pPr>
            <w:r w:rsidRPr="002F44D2">
              <w:rPr>
                <w:rFonts w:ascii="Arial" w:hAnsi="Arial" w:cs="Arial"/>
                <w:sz w:val="20"/>
                <w:szCs w:val="20"/>
              </w:rPr>
              <w:t>1</w:t>
            </w:r>
          </w:p>
        </w:tc>
      </w:tr>
      <w:tr w:rsidR="002F44D2" w:rsidRPr="002F44D2" w14:paraId="34BFA368" w14:textId="77777777" w:rsidTr="00BC2520">
        <w:trPr>
          <w:trHeight w:val="556"/>
        </w:trPr>
        <w:tc>
          <w:tcPr>
            <w:tcW w:w="0" w:type="auto"/>
            <w:vAlign w:val="bottom"/>
          </w:tcPr>
          <w:p w14:paraId="325587B5" w14:textId="77777777" w:rsidR="002F44D2" w:rsidRPr="002F44D2" w:rsidRDefault="002F44D2" w:rsidP="00BC2520">
            <w:pPr>
              <w:rPr>
                <w:rFonts w:ascii="Arial" w:hAnsi="Arial" w:cs="Arial"/>
                <w:b/>
                <w:sz w:val="20"/>
                <w:szCs w:val="20"/>
              </w:rPr>
            </w:pPr>
            <w:r w:rsidRPr="002F44D2">
              <w:rPr>
                <w:rFonts w:ascii="Arial" w:hAnsi="Arial" w:cs="Arial"/>
                <w:b/>
                <w:sz w:val="20"/>
                <w:szCs w:val="20"/>
              </w:rPr>
              <w:t>Students’ minimum age by 30 June of the year of enrolment</w:t>
            </w:r>
          </w:p>
        </w:tc>
        <w:tc>
          <w:tcPr>
            <w:tcW w:w="0" w:type="auto"/>
            <w:gridSpan w:val="2"/>
            <w:vAlign w:val="bottom"/>
          </w:tcPr>
          <w:p w14:paraId="1644008D"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5</w:t>
            </w:r>
          </w:p>
        </w:tc>
        <w:tc>
          <w:tcPr>
            <w:tcW w:w="0" w:type="auto"/>
            <w:gridSpan w:val="2"/>
            <w:noWrap/>
            <w:vAlign w:val="bottom"/>
          </w:tcPr>
          <w:p w14:paraId="49D5D3E0"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6</w:t>
            </w:r>
          </w:p>
        </w:tc>
        <w:tc>
          <w:tcPr>
            <w:tcW w:w="0" w:type="auto"/>
            <w:gridSpan w:val="2"/>
            <w:noWrap/>
            <w:vAlign w:val="bottom"/>
          </w:tcPr>
          <w:p w14:paraId="2B2E0A20"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7</w:t>
            </w:r>
          </w:p>
        </w:tc>
        <w:tc>
          <w:tcPr>
            <w:tcW w:w="0" w:type="auto"/>
            <w:gridSpan w:val="2"/>
            <w:noWrap/>
            <w:vAlign w:val="bottom"/>
          </w:tcPr>
          <w:p w14:paraId="2047279F"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8</w:t>
            </w:r>
          </w:p>
        </w:tc>
        <w:tc>
          <w:tcPr>
            <w:tcW w:w="0" w:type="auto"/>
            <w:gridSpan w:val="2"/>
            <w:noWrap/>
            <w:vAlign w:val="bottom"/>
          </w:tcPr>
          <w:p w14:paraId="64C7C8DD"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9</w:t>
            </w:r>
          </w:p>
        </w:tc>
        <w:tc>
          <w:tcPr>
            <w:tcW w:w="0" w:type="auto"/>
            <w:gridSpan w:val="2"/>
            <w:noWrap/>
            <w:vAlign w:val="bottom"/>
          </w:tcPr>
          <w:p w14:paraId="5F71B8C6"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10</w:t>
            </w:r>
          </w:p>
        </w:tc>
        <w:tc>
          <w:tcPr>
            <w:tcW w:w="0" w:type="auto"/>
            <w:gridSpan w:val="2"/>
            <w:noWrap/>
            <w:vAlign w:val="bottom"/>
          </w:tcPr>
          <w:p w14:paraId="28CA72C0"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11</w:t>
            </w:r>
          </w:p>
        </w:tc>
        <w:tc>
          <w:tcPr>
            <w:tcW w:w="0" w:type="auto"/>
            <w:gridSpan w:val="2"/>
            <w:noWrap/>
            <w:vAlign w:val="bottom"/>
          </w:tcPr>
          <w:p w14:paraId="79A0FC06"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12</w:t>
            </w:r>
          </w:p>
        </w:tc>
        <w:tc>
          <w:tcPr>
            <w:tcW w:w="0" w:type="auto"/>
            <w:gridSpan w:val="2"/>
            <w:noWrap/>
            <w:vAlign w:val="bottom"/>
          </w:tcPr>
          <w:p w14:paraId="2FF16EF0"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13</w:t>
            </w:r>
          </w:p>
        </w:tc>
        <w:tc>
          <w:tcPr>
            <w:tcW w:w="0" w:type="auto"/>
            <w:gridSpan w:val="2"/>
            <w:noWrap/>
            <w:vAlign w:val="bottom"/>
          </w:tcPr>
          <w:p w14:paraId="5C39B14C"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14</w:t>
            </w:r>
          </w:p>
        </w:tc>
        <w:tc>
          <w:tcPr>
            <w:tcW w:w="0" w:type="auto"/>
            <w:gridSpan w:val="2"/>
            <w:noWrap/>
            <w:vAlign w:val="bottom"/>
          </w:tcPr>
          <w:p w14:paraId="2C538EB9"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15</w:t>
            </w:r>
          </w:p>
        </w:tc>
        <w:tc>
          <w:tcPr>
            <w:tcW w:w="0" w:type="auto"/>
            <w:gridSpan w:val="2"/>
            <w:noWrap/>
            <w:vAlign w:val="bottom"/>
          </w:tcPr>
          <w:p w14:paraId="1C970815"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16</w:t>
            </w:r>
          </w:p>
        </w:tc>
        <w:tc>
          <w:tcPr>
            <w:tcW w:w="0" w:type="auto"/>
            <w:gridSpan w:val="2"/>
            <w:noWrap/>
            <w:vAlign w:val="bottom"/>
          </w:tcPr>
          <w:p w14:paraId="691DBBEF" w14:textId="77777777" w:rsidR="002F44D2" w:rsidRPr="002F44D2" w:rsidRDefault="002F44D2" w:rsidP="00BC2520">
            <w:pPr>
              <w:jc w:val="center"/>
              <w:rPr>
                <w:rFonts w:ascii="Arial" w:hAnsi="Arial" w:cs="Arial"/>
                <w:sz w:val="20"/>
                <w:szCs w:val="20"/>
              </w:rPr>
            </w:pPr>
            <w:r w:rsidRPr="002F44D2">
              <w:rPr>
                <w:rFonts w:ascii="Arial" w:hAnsi="Arial" w:cs="Arial"/>
                <w:sz w:val="20"/>
                <w:szCs w:val="20"/>
              </w:rPr>
              <w:t>17</w:t>
            </w:r>
          </w:p>
        </w:tc>
      </w:tr>
    </w:tbl>
    <w:p w14:paraId="36EC8F9E" w14:textId="77777777" w:rsidR="002F44D2" w:rsidRPr="002F44D2" w:rsidRDefault="002F44D2" w:rsidP="00AE7736">
      <w:pPr>
        <w:spacing w:line="280" w:lineRule="exact"/>
        <w:rPr>
          <w:rFonts w:ascii="Arial" w:hAnsi="Arial" w:cs="Arial"/>
          <w:bCs/>
          <w:sz w:val="20"/>
          <w:szCs w:val="20"/>
          <w:lang w:eastAsia="en-US"/>
        </w:rPr>
      </w:pPr>
      <w:r w:rsidRPr="002F44D2">
        <w:rPr>
          <w:rFonts w:ascii="Arial" w:hAnsi="Arial" w:cs="Arial"/>
          <w:bCs/>
          <w:sz w:val="20"/>
          <w:szCs w:val="20"/>
          <w:lang w:eastAsia="en-US"/>
        </w:rPr>
        <w:t xml:space="preserve">The following table shows how semesters are usually allocated according to the year level in which a student is enrolled. The third row provides a general guide regarding the minimum age at which Queensland children attend the particular year level. </w:t>
      </w:r>
    </w:p>
    <w:p w14:paraId="2C4E7B23" w14:textId="77777777" w:rsidR="002F44D2" w:rsidRPr="002F44D2" w:rsidRDefault="002F44D2" w:rsidP="002F44D2">
      <w:pPr>
        <w:rPr>
          <w:rFonts w:ascii="Arial" w:hAnsi="Arial" w:cs="Arial"/>
          <w:b/>
          <w:sz w:val="20"/>
          <w:szCs w:val="20"/>
        </w:rPr>
      </w:pPr>
    </w:p>
    <w:p w14:paraId="59D6C647" w14:textId="77777777" w:rsidR="00BC2520" w:rsidRDefault="00BC2520" w:rsidP="00CD3470"/>
    <w:p w14:paraId="1F818675" w14:textId="77777777" w:rsidR="002F44D2" w:rsidRPr="00A05FDF" w:rsidRDefault="002F44D2" w:rsidP="00AE7736">
      <w:pPr>
        <w:pStyle w:val="Heading2"/>
        <w:spacing w:before="0" w:after="0" w:line="280" w:lineRule="exact"/>
        <w:rPr>
          <w:rFonts w:cs="Arial"/>
          <w:b/>
          <w:sz w:val="24"/>
          <w:szCs w:val="24"/>
        </w:rPr>
      </w:pPr>
      <w:r w:rsidRPr="00A05FDF">
        <w:rPr>
          <w:rFonts w:cs="Arial"/>
          <w:b/>
          <w:sz w:val="24"/>
          <w:szCs w:val="24"/>
        </w:rPr>
        <w:t>Considering all relevant information when deciding remaining allocations</w:t>
      </w:r>
    </w:p>
    <w:p w14:paraId="4710093A" w14:textId="77777777" w:rsidR="002F44D2" w:rsidRPr="002F44D2" w:rsidRDefault="002F44D2" w:rsidP="00AE7736">
      <w:pPr>
        <w:autoSpaceDE w:val="0"/>
        <w:autoSpaceDN w:val="0"/>
        <w:adjustRightInd w:val="0"/>
        <w:spacing w:line="280" w:lineRule="exact"/>
        <w:rPr>
          <w:rFonts w:ascii="Arial" w:eastAsia="SimSun" w:hAnsi="Arial" w:cs="Arial"/>
          <w:sz w:val="20"/>
          <w:szCs w:val="20"/>
          <w:lang w:eastAsia="zh-CN"/>
        </w:rPr>
      </w:pPr>
      <w:r w:rsidRPr="002F44D2">
        <w:rPr>
          <w:rFonts w:ascii="Arial" w:eastAsia="SimSun" w:hAnsi="Arial" w:cs="Arial"/>
          <w:sz w:val="20"/>
          <w:szCs w:val="20"/>
          <w:lang w:eastAsia="zh-CN"/>
        </w:rPr>
        <w:t xml:space="preserve">When deciding a student’s remaining allocation, the principal must consider all relevant matters, including, for example - </w:t>
      </w:r>
    </w:p>
    <w:p w14:paraId="4D3EBDED" w14:textId="599276D3" w:rsidR="002F44D2" w:rsidRPr="002F44D2" w:rsidRDefault="002F44D2" w:rsidP="00AE7736">
      <w:pPr>
        <w:numPr>
          <w:ilvl w:val="0"/>
          <w:numId w:val="1"/>
        </w:numPr>
        <w:autoSpaceDE w:val="0"/>
        <w:autoSpaceDN w:val="0"/>
        <w:adjustRightInd w:val="0"/>
        <w:spacing w:line="280" w:lineRule="exact"/>
        <w:rPr>
          <w:rFonts w:ascii="Arial" w:eastAsia="SimSun" w:hAnsi="Arial" w:cs="Arial"/>
          <w:sz w:val="20"/>
          <w:szCs w:val="20"/>
          <w:lang w:eastAsia="zh-CN"/>
        </w:rPr>
      </w:pPr>
      <w:r w:rsidRPr="002F44D2">
        <w:rPr>
          <w:rFonts w:ascii="Arial" w:eastAsia="SimSun" w:hAnsi="Arial" w:cs="Arial"/>
          <w:sz w:val="20"/>
          <w:szCs w:val="20"/>
          <w:lang w:eastAsia="zh-CN"/>
        </w:rPr>
        <w:t>the age, ability, aptitude and development of the student</w:t>
      </w:r>
    </w:p>
    <w:p w14:paraId="7B090E5A" w14:textId="62E55E82" w:rsidR="002F44D2" w:rsidRPr="002F44D2" w:rsidRDefault="002F44D2" w:rsidP="00AE7736">
      <w:pPr>
        <w:numPr>
          <w:ilvl w:val="0"/>
          <w:numId w:val="1"/>
        </w:numPr>
        <w:autoSpaceDE w:val="0"/>
        <w:autoSpaceDN w:val="0"/>
        <w:adjustRightInd w:val="0"/>
        <w:spacing w:line="280" w:lineRule="exact"/>
        <w:rPr>
          <w:rFonts w:ascii="Arial" w:eastAsia="SimSun" w:hAnsi="Arial" w:cs="Arial"/>
          <w:sz w:val="20"/>
          <w:szCs w:val="20"/>
          <w:lang w:eastAsia="zh-CN"/>
        </w:rPr>
      </w:pPr>
      <w:r w:rsidRPr="002F44D2">
        <w:rPr>
          <w:rFonts w:ascii="Arial" w:eastAsia="SimSun" w:hAnsi="Arial" w:cs="Arial"/>
          <w:sz w:val="20"/>
          <w:szCs w:val="20"/>
          <w:lang w:eastAsia="zh-CN"/>
        </w:rPr>
        <w:t>the need to take account and promote continuity of the student’s learning experiences</w:t>
      </w:r>
    </w:p>
    <w:p w14:paraId="25788A0F" w14:textId="1467839C" w:rsidR="002F44D2" w:rsidRPr="002F44D2" w:rsidRDefault="002F44D2" w:rsidP="00AE7736">
      <w:pPr>
        <w:numPr>
          <w:ilvl w:val="0"/>
          <w:numId w:val="1"/>
        </w:numPr>
        <w:autoSpaceDE w:val="0"/>
        <w:autoSpaceDN w:val="0"/>
        <w:adjustRightInd w:val="0"/>
        <w:spacing w:line="280" w:lineRule="exact"/>
        <w:rPr>
          <w:rFonts w:ascii="Arial" w:eastAsia="SimSun" w:hAnsi="Arial" w:cs="Arial"/>
          <w:sz w:val="20"/>
          <w:szCs w:val="20"/>
          <w:lang w:eastAsia="zh-CN"/>
        </w:rPr>
      </w:pPr>
      <w:r w:rsidRPr="002F44D2">
        <w:rPr>
          <w:rFonts w:ascii="Arial" w:eastAsia="SimSun" w:hAnsi="Arial" w:cs="Arial"/>
          <w:sz w:val="20"/>
          <w:szCs w:val="20"/>
          <w:lang w:eastAsia="zh-CN"/>
        </w:rPr>
        <w:t>whether the enrolment is compulsory or non-compulsory</w:t>
      </w:r>
    </w:p>
    <w:p w14:paraId="1C552290" w14:textId="45629C5C" w:rsidR="002F44D2" w:rsidRPr="00705FA6" w:rsidRDefault="002F44D2" w:rsidP="00AE7736">
      <w:pPr>
        <w:numPr>
          <w:ilvl w:val="0"/>
          <w:numId w:val="1"/>
        </w:numPr>
        <w:autoSpaceDE w:val="0"/>
        <w:autoSpaceDN w:val="0"/>
        <w:adjustRightInd w:val="0"/>
        <w:spacing w:line="280" w:lineRule="exact"/>
        <w:rPr>
          <w:rFonts w:ascii="Arial" w:hAnsi="Arial" w:cs="Arial"/>
          <w:sz w:val="20"/>
          <w:szCs w:val="20"/>
          <w:u w:val="single"/>
        </w:rPr>
      </w:pPr>
      <w:r w:rsidRPr="002F44D2">
        <w:rPr>
          <w:rFonts w:ascii="Arial" w:eastAsia="SimSun" w:hAnsi="Arial" w:cs="Arial"/>
          <w:sz w:val="20"/>
          <w:szCs w:val="20"/>
          <w:lang w:eastAsia="zh-CN"/>
        </w:rPr>
        <w:t xml:space="preserve">if the student’s enrolment is </w:t>
      </w:r>
      <w:r w:rsidR="00705FA6">
        <w:rPr>
          <w:rFonts w:ascii="Arial" w:eastAsia="SimSun" w:hAnsi="Arial" w:cs="Arial"/>
          <w:sz w:val="20"/>
          <w:szCs w:val="20"/>
          <w:lang w:eastAsia="zh-CN"/>
        </w:rPr>
        <w:t>non</w:t>
      </w:r>
      <w:r w:rsidRPr="002F44D2">
        <w:rPr>
          <w:rFonts w:ascii="Arial" w:eastAsia="SimSun" w:hAnsi="Arial" w:cs="Arial"/>
          <w:sz w:val="20"/>
          <w:szCs w:val="20"/>
          <w:lang w:eastAsia="zh-CN"/>
        </w:rPr>
        <w:t>-compulsory - the student’s commitmen</w:t>
      </w:r>
      <w:r w:rsidR="00705FA6">
        <w:rPr>
          <w:rFonts w:ascii="Arial" w:eastAsia="SimSun" w:hAnsi="Arial" w:cs="Arial"/>
          <w:sz w:val="20"/>
          <w:szCs w:val="20"/>
          <w:lang w:eastAsia="zh-CN"/>
        </w:rPr>
        <w:t>t to complete a course of study</w:t>
      </w:r>
    </w:p>
    <w:p w14:paraId="25C8F4FE" w14:textId="296B831A" w:rsidR="00705FA6" w:rsidRPr="005C1CA5" w:rsidRDefault="00705FA6" w:rsidP="00AE7736">
      <w:pPr>
        <w:numPr>
          <w:ilvl w:val="0"/>
          <w:numId w:val="1"/>
        </w:numPr>
        <w:autoSpaceDE w:val="0"/>
        <w:autoSpaceDN w:val="0"/>
        <w:adjustRightInd w:val="0"/>
        <w:spacing w:line="280" w:lineRule="exact"/>
        <w:rPr>
          <w:rFonts w:ascii="Arial" w:hAnsi="Arial" w:cs="Arial"/>
          <w:sz w:val="20"/>
          <w:szCs w:val="20"/>
          <w:u w:val="single"/>
        </w:rPr>
      </w:pPr>
      <w:proofErr w:type="gramStart"/>
      <w:r>
        <w:rPr>
          <w:rFonts w:ascii="Arial" w:eastAsia="SimSun" w:hAnsi="Arial" w:cs="Arial"/>
          <w:sz w:val="20"/>
          <w:szCs w:val="20"/>
          <w:lang w:eastAsia="zh-CN"/>
        </w:rPr>
        <w:t>whether</w:t>
      </w:r>
      <w:proofErr w:type="gramEnd"/>
      <w:r>
        <w:rPr>
          <w:rFonts w:ascii="Arial" w:eastAsia="SimSun" w:hAnsi="Arial" w:cs="Arial"/>
          <w:sz w:val="20"/>
          <w:szCs w:val="20"/>
          <w:lang w:eastAsia="zh-CN"/>
        </w:rPr>
        <w:t xml:space="preserve"> a state school principal has already made a remaining allocation decision prior to this application for enrolment.</w:t>
      </w:r>
    </w:p>
    <w:p w14:paraId="091BC23C" w14:textId="77777777" w:rsidR="005C1CA5" w:rsidRDefault="005C1CA5" w:rsidP="00AE7736">
      <w:pPr>
        <w:autoSpaceDE w:val="0"/>
        <w:autoSpaceDN w:val="0"/>
        <w:adjustRightInd w:val="0"/>
        <w:spacing w:line="280" w:lineRule="exact"/>
        <w:rPr>
          <w:rFonts w:ascii="Arial" w:eastAsia="SimSun" w:hAnsi="Arial" w:cs="Arial"/>
          <w:sz w:val="20"/>
          <w:szCs w:val="20"/>
          <w:lang w:eastAsia="zh-CN"/>
        </w:rPr>
      </w:pPr>
    </w:p>
    <w:p w14:paraId="08F73C0F" w14:textId="2BD63D21" w:rsidR="005C1CA5" w:rsidRPr="00052E91" w:rsidRDefault="005C1CA5" w:rsidP="00AE7736">
      <w:pPr>
        <w:pStyle w:val="NormalWeb"/>
        <w:spacing w:before="0" w:beforeAutospacing="0" w:after="0" w:afterAutospacing="0" w:line="280" w:lineRule="exact"/>
        <w:rPr>
          <w:rFonts w:cs="Arial"/>
          <w:bCs/>
          <w:sz w:val="20"/>
          <w:szCs w:val="20"/>
        </w:rPr>
      </w:pPr>
      <w:r w:rsidRPr="00052E91">
        <w:rPr>
          <w:rFonts w:cs="Arial"/>
          <w:bCs/>
          <w:sz w:val="20"/>
          <w:szCs w:val="20"/>
        </w:rPr>
        <w:t xml:space="preserve">However, when a prospective </w:t>
      </w:r>
      <w:r w:rsidR="00036ACD" w:rsidRPr="00052E91">
        <w:rPr>
          <w:rFonts w:cs="Arial"/>
          <w:bCs/>
          <w:sz w:val="20"/>
          <w:szCs w:val="20"/>
        </w:rPr>
        <w:t>student seeks</w:t>
      </w:r>
      <w:r w:rsidRPr="00052E91">
        <w:rPr>
          <w:rFonts w:cs="Arial"/>
          <w:bCs/>
          <w:sz w:val="20"/>
          <w:szCs w:val="20"/>
        </w:rPr>
        <w:t xml:space="preserve"> to enrol at a state school and there is no information or evidence provided regarding the prospective student’s prior education</w:t>
      </w:r>
      <w:r w:rsidR="005E3EF4">
        <w:rPr>
          <w:rFonts w:cs="Arial"/>
          <w:bCs/>
          <w:sz w:val="20"/>
          <w:szCs w:val="20"/>
        </w:rPr>
        <w:t xml:space="preserve"> </w:t>
      </w:r>
      <w:r w:rsidR="005E3EF4" w:rsidRPr="00052E91">
        <w:rPr>
          <w:rFonts w:cs="Arial"/>
          <w:bCs/>
          <w:sz w:val="20"/>
          <w:szCs w:val="20"/>
        </w:rPr>
        <w:t xml:space="preserve">(e.g. </w:t>
      </w:r>
      <w:r w:rsidR="005E3EF4">
        <w:rPr>
          <w:rFonts w:cs="Arial"/>
          <w:bCs/>
          <w:sz w:val="20"/>
          <w:szCs w:val="20"/>
        </w:rPr>
        <w:t xml:space="preserve">if they </w:t>
      </w:r>
      <w:r w:rsidR="005E3EF4" w:rsidRPr="00052E91">
        <w:rPr>
          <w:rFonts w:cs="Arial"/>
          <w:bCs/>
          <w:sz w:val="20"/>
          <w:szCs w:val="20"/>
        </w:rPr>
        <w:t>ha</w:t>
      </w:r>
      <w:r w:rsidR="005E3EF4">
        <w:rPr>
          <w:rFonts w:cs="Arial"/>
          <w:bCs/>
          <w:sz w:val="20"/>
          <w:szCs w:val="20"/>
        </w:rPr>
        <w:t>ve</w:t>
      </w:r>
      <w:r w:rsidR="005E3EF4" w:rsidRPr="00052E91">
        <w:rPr>
          <w:rFonts w:cs="Arial"/>
          <w:bCs/>
          <w:sz w:val="20"/>
          <w:szCs w:val="20"/>
        </w:rPr>
        <w:t xml:space="preserve"> come from another country)</w:t>
      </w:r>
      <w:r w:rsidRPr="00052E91">
        <w:rPr>
          <w:rFonts w:cs="Arial"/>
          <w:bCs/>
          <w:sz w:val="20"/>
          <w:szCs w:val="20"/>
        </w:rPr>
        <w:t xml:space="preserve">, the principal could determine the remaining allocation based on the student’s capabilities and needs, taking into consideration </w:t>
      </w:r>
      <w:proofErr w:type="spellStart"/>
      <w:r w:rsidRPr="00052E91">
        <w:rPr>
          <w:rFonts w:cs="Arial"/>
          <w:bCs/>
          <w:sz w:val="20"/>
          <w:szCs w:val="20"/>
        </w:rPr>
        <w:t>their</w:t>
      </w:r>
      <w:proofErr w:type="spellEnd"/>
      <w:r w:rsidRPr="00052E91">
        <w:rPr>
          <w:rFonts w:cs="Arial"/>
          <w:bCs/>
          <w:sz w:val="20"/>
          <w:szCs w:val="20"/>
        </w:rPr>
        <w:t>:</w:t>
      </w:r>
    </w:p>
    <w:p w14:paraId="0FC7D123" w14:textId="6230BE1A" w:rsidR="005C1CA5" w:rsidRPr="00052E91" w:rsidRDefault="005C1CA5" w:rsidP="00AE7736">
      <w:pPr>
        <w:pStyle w:val="NormalWeb"/>
        <w:numPr>
          <w:ilvl w:val="0"/>
          <w:numId w:val="2"/>
        </w:numPr>
        <w:tabs>
          <w:tab w:val="clear" w:pos="1134"/>
          <w:tab w:val="num" w:pos="720"/>
        </w:tabs>
        <w:spacing w:before="0" w:beforeAutospacing="0" w:after="0" w:afterAutospacing="0" w:line="280" w:lineRule="exact"/>
        <w:ind w:left="720"/>
        <w:rPr>
          <w:rFonts w:cs="Arial"/>
          <w:bCs/>
          <w:sz w:val="20"/>
          <w:szCs w:val="20"/>
        </w:rPr>
      </w:pPr>
      <w:r w:rsidRPr="00052E91">
        <w:rPr>
          <w:rFonts w:cs="Arial"/>
          <w:bCs/>
          <w:sz w:val="20"/>
          <w:szCs w:val="20"/>
        </w:rPr>
        <w:t>age, ability, aptitude and development</w:t>
      </w:r>
    </w:p>
    <w:p w14:paraId="7FAEDC57" w14:textId="02F9E1C3" w:rsidR="005C1CA5" w:rsidRPr="00052E91" w:rsidRDefault="005C1CA5" w:rsidP="00AE7736">
      <w:pPr>
        <w:pStyle w:val="NormalWeb"/>
        <w:numPr>
          <w:ilvl w:val="0"/>
          <w:numId w:val="2"/>
        </w:numPr>
        <w:tabs>
          <w:tab w:val="clear" w:pos="1134"/>
          <w:tab w:val="num" w:pos="720"/>
        </w:tabs>
        <w:spacing w:before="0" w:beforeAutospacing="0" w:after="0" w:afterAutospacing="0" w:line="280" w:lineRule="exact"/>
        <w:ind w:left="720"/>
        <w:rPr>
          <w:rFonts w:cs="Arial"/>
          <w:bCs/>
          <w:sz w:val="20"/>
          <w:szCs w:val="20"/>
        </w:rPr>
      </w:pPr>
      <w:r w:rsidRPr="00052E91">
        <w:rPr>
          <w:rFonts w:cs="Arial"/>
          <w:bCs/>
          <w:sz w:val="20"/>
          <w:szCs w:val="20"/>
        </w:rPr>
        <w:t>level of English</w:t>
      </w:r>
    </w:p>
    <w:p w14:paraId="7247F162" w14:textId="77777777" w:rsidR="005C1CA5" w:rsidRPr="00052E91" w:rsidRDefault="005C1CA5" w:rsidP="00AE7736">
      <w:pPr>
        <w:pStyle w:val="NormalWeb"/>
        <w:numPr>
          <w:ilvl w:val="0"/>
          <w:numId w:val="2"/>
        </w:numPr>
        <w:tabs>
          <w:tab w:val="clear" w:pos="1134"/>
          <w:tab w:val="num" w:pos="720"/>
        </w:tabs>
        <w:spacing w:before="0" w:beforeAutospacing="0" w:after="0" w:afterAutospacing="0" w:line="280" w:lineRule="exact"/>
        <w:ind w:left="720"/>
        <w:rPr>
          <w:rFonts w:cs="Arial"/>
          <w:bCs/>
          <w:sz w:val="20"/>
          <w:szCs w:val="20"/>
        </w:rPr>
      </w:pPr>
      <w:proofErr w:type="gramStart"/>
      <w:r w:rsidRPr="00052E91">
        <w:rPr>
          <w:rFonts w:cs="Arial"/>
          <w:bCs/>
          <w:sz w:val="20"/>
          <w:szCs w:val="20"/>
        </w:rPr>
        <w:t>capacity</w:t>
      </w:r>
      <w:proofErr w:type="gramEnd"/>
      <w:r w:rsidRPr="00052E91">
        <w:rPr>
          <w:rFonts w:cs="Arial"/>
          <w:bCs/>
          <w:sz w:val="20"/>
          <w:szCs w:val="20"/>
        </w:rPr>
        <w:t xml:space="preserve"> to learn in English.</w:t>
      </w:r>
    </w:p>
    <w:p w14:paraId="36F64F79" w14:textId="77777777" w:rsidR="00DE0B2A" w:rsidRDefault="00DE0B2A" w:rsidP="00AE7736">
      <w:pPr>
        <w:spacing w:line="280" w:lineRule="exact"/>
      </w:pPr>
    </w:p>
    <w:p w14:paraId="54A8248D" w14:textId="77777777" w:rsidR="00A05FDF" w:rsidRPr="00052E91" w:rsidRDefault="00A05FDF" w:rsidP="00AE7736">
      <w:pPr>
        <w:pStyle w:val="Heading2"/>
        <w:spacing w:before="0" w:after="0" w:line="280" w:lineRule="exact"/>
        <w:jc w:val="both"/>
        <w:rPr>
          <w:rFonts w:cs="Arial"/>
          <w:b/>
          <w:sz w:val="24"/>
          <w:szCs w:val="24"/>
        </w:rPr>
      </w:pPr>
      <w:r w:rsidRPr="00052E91">
        <w:rPr>
          <w:rFonts w:cs="Arial"/>
          <w:b/>
          <w:sz w:val="24"/>
          <w:szCs w:val="24"/>
        </w:rPr>
        <w:t>Allocation decisions</w:t>
      </w:r>
    </w:p>
    <w:p w14:paraId="161FF805" w14:textId="307911EA" w:rsidR="009B3A21" w:rsidRDefault="009B3A21" w:rsidP="00AE7736">
      <w:pPr>
        <w:spacing w:line="280" w:lineRule="exact"/>
        <w:jc w:val="both"/>
        <w:rPr>
          <w:rFonts w:ascii="Arial" w:hAnsi="Arial" w:cs="Arial"/>
          <w:sz w:val="20"/>
          <w:szCs w:val="20"/>
        </w:rPr>
      </w:pPr>
      <w:r w:rsidRPr="00A9568B">
        <w:rPr>
          <w:rFonts w:ascii="Arial" w:hAnsi="Arial" w:cs="Arial"/>
          <w:color w:val="000000"/>
          <w:sz w:val="20"/>
          <w:szCs w:val="20"/>
        </w:rPr>
        <w:t>Decisions relating to semester allocation and additional semesters are documented in writing by the decision-maker, detailing relevant personnel involved, evidence gathered to inform decision-making, and reasons for the decisio</w:t>
      </w:r>
      <w:r w:rsidRPr="00A9568B">
        <w:rPr>
          <w:rFonts w:ascii="Arial" w:hAnsi="Arial" w:cs="Arial"/>
          <w:sz w:val="20"/>
          <w:szCs w:val="20"/>
        </w:rPr>
        <w:t>n.</w:t>
      </w:r>
      <w:r w:rsidRPr="00A9568B">
        <w:rPr>
          <w:rFonts w:ascii="Arial" w:hAnsi="Arial" w:cs="Arial"/>
          <w:color w:val="000000"/>
          <w:sz w:val="20"/>
          <w:szCs w:val="20"/>
        </w:rPr>
        <w:t xml:space="preserve"> If the applicant is not satisfied with the decision, they can request that these </w:t>
      </w:r>
      <w:hyperlink r:id="rId12" w:history="1">
        <w:r w:rsidRPr="00DB36FF">
          <w:rPr>
            <w:rStyle w:val="Hyperlink"/>
            <w:rFonts w:ascii="Arial" w:hAnsi="Arial" w:cs="Arial"/>
            <w:sz w:val="20"/>
            <w:szCs w:val="20"/>
          </w:rPr>
          <w:t>decisions be reviewed</w:t>
        </w:r>
      </w:hyperlink>
      <w:r w:rsidRPr="00A9568B">
        <w:rPr>
          <w:rFonts w:ascii="Arial" w:hAnsi="Arial" w:cs="Arial"/>
          <w:color w:val="000000"/>
          <w:sz w:val="20"/>
          <w:szCs w:val="20"/>
        </w:rPr>
        <w:t xml:space="preserve">. </w:t>
      </w:r>
      <w:r>
        <w:rPr>
          <w:rFonts w:ascii="Arial" w:hAnsi="Arial" w:cs="Arial"/>
          <w:sz w:val="20"/>
          <w:szCs w:val="20"/>
        </w:rPr>
        <w:t xml:space="preserve"> </w:t>
      </w:r>
    </w:p>
    <w:p w14:paraId="77EB6E5C" w14:textId="41611990" w:rsidR="00A05FDF" w:rsidRPr="00AE7736" w:rsidRDefault="00A05FDF" w:rsidP="00AE7736">
      <w:pPr>
        <w:spacing w:line="280" w:lineRule="exact"/>
        <w:rPr>
          <w:rFonts w:ascii="Arial" w:hAnsi="Arial" w:cs="Arial"/>
          <w:b/>
          <w:sz w:val="20"/>
        </w:rPr>
      </w:pPr>
      <w:r w:rsidRPr="00F63B12">
        <w:rPr>
          <w:rFonts w:ascii="Arial" w:hAnsi="Arial" w:cs="Arial"/>
          <w:b/>
          <w:sz w:val="20"/>
        </w:rPr>
        <w:lastRenderedPageBreak/>
        <w:t>To promote fairness and administrative certainty, and to avoid appeals, allocation decisions made by one principal upon enrolment should not be changed by a subsequent principal unless</w:t>
      </w:r>
      <w:r w:rsidR="001F16CF">
        <w:rPr>
          <w:rFonts w:ascii="Arial" w:hAnsi="Arial" w:cs="Arial"/>
          <w:b/>
          <w:sz w:val="20"/>
        </w:rPr>
        <w:t xml:space="preserve"> there is </w:t>
      </w:r>
      <w:r w:rsidRPr="00F63B12">
        <w:rPr>
          <w:rFonts w:ascii="Arial" w:hAnsi="Arial" w:cs="Arial"/>
          <w:b/>
          <w:sz w:val="20"/>
        </w:rPr>
        <w:t>relevant, credible and significant new information. Changing an allocation decision should only occur in exceptional circumstances.</w:t>
      </w:r>
    </w:p>
    <w:p w14:paraId="78FBA0E7" w14:textId="1F94E519" w:rsidR="00B5171D" w:rsidRPr="00CD3470" w:rsidRDefault="002F44D2" w:rsidP="00AE7736">
      <w:pPr>
        <w:pStyle w:val="Heading2"/>
        <w:spacing w:after="10" w:line="280" w:lineRule="exact"/>
        <w:jc w:val="both"/>
        <w:rPr>
          <w:rFonts w:cs="Arial"/>
          <w:b/>
          <w:sz w:val="24"/>
          <w:szCs w:val="24"/>
        </w:rPr>
      </w:pPr>
      <w:r w:rsidRPr="00052E91">
        <w:rPr>
          <w:rFonts w:cs="Arial"/>
          <w:b/>
          <w:sz w:val="24"/>
          <w:szCs w:val="24"/>
        </w:rPr>
        <w:t>Examples</w:t>
      </w:r>
    </w:p>
    <w:p w14:paraId="70D9F9EF" w14:textId="0EB2ECBE" w:rsidR="009B3A21" w:rsidRDefault="009B3A21" w:rsidP="00AE7736">
      <w:pPr>
        <w:pStyle w:val="Heading2"/>
        <w:spacing w:before="0" w:after="0" w:line="280" w:lineRule="exact"/>
        <w:jc w:val="both"/>
        <w:rPr>
          <w:rFonts w:cs="Arial"/>
          <w:b/>
          <w:i/>
          <w:sz w:val="22"/>
          <w:szCs w:val="22"/>
        </w:rPr>
      </w:pPr>
      <w:r>
        <w:rPr>
          <w:rFonts w:cs="Arial"/>
          <w:b/>
          <w:i/>
          <w:sz w:val="22"/>
          <w:szCs w:val="22"/>
        </w:rPr>
        <w:t>Schooling prior to 2007</w:t>
      </w:r>
    </w:p>
    <w:p w14:paraId="755636BD" w14:textId="22D77FBA" w:rsidR="009B3A21" w:rsidRPr="00CD3470" w:rsidRDefault="009B3A21" w:rsidP="00AE7736">
      <w:pPr>
        <w:spacing w:line="280" w:lineRule="exact"/>
        <w:jc w:val="both"/>
        <w:rPr>
          <w:rFonts w:ascii="Arial" w:hAnsi="Arial" w:cs="Arial"/>
          <w:sz w:val="20"/>
          <w:szCs w:val="20"/>
        </w:rPr>
      </w:pPr>
      <w:r w:rsidRPr="00CD3470">
        <w:rPr>
          <w:rFonts w:ascii="Arial" w:hAnsi="Arial" w:cs="Arial"/>
          <w:sz w:val="20"/>
          <w:szCs w:val="20"/>
        </w:rPr>
        <w:t>Students who commenced schooling in Year 1 prior to 2007 (i.e. before the introduction of the Prep Year in Queensland) are entitled to a basic allocation of 24 semesters of state education, not 26 semesters.</w:t>
      </w:r>
    </w:p>
    <w:p w14:paraId="077EE6AD" w14:textId="77777777" w:rsidR="009B3A21" w:rsidRDefault="009B3A21" w:rsidP="00AE7736">
      <w:pPr>
        <w:spacing w:line="280" w:lineRule="exact"/>
      </w:pPr>
    </w:p>
    <w:p w14:paraId="5B314B1B" w14:textId="0CC702F3" w:rsidR="009B3A21" w:rsidRDefault="009B3A21" w:rsidP="00AE7736">
      <w:pPr>
        <w:pStyle w:val="Heading2"/>
        <w:spacing w:before="0" w:after="0" w:line="280" w:lineRule="exact"/>
        <w:jc w:val="both"/>
        <w:rPr>
          <w:rFonts w:cs="Arial"/>
          <w:b/>
          <w:i/>
          <w:sz w:val="22"/>
          <w:szCs w:val="22"/>
        </w:rPr>
      </w:pPr>
      <w:r>
        <w:rPr>
          <w:rFonts w:cs="Arial"/>
          <w:b/>
          <w:i/>
          <w:sz w:val="22"/>
          <w:szCs w:val="22"/>
        </w:rPr>
        <w:t>Delayed entry to Prep students</w:t>
      </w:r>
    </w:p>
    <w:p w14:paraId="49C8DAC0" w14:textId="77777777" w:rsidR="009B3A21" w:rsidRPr="00FC2698" w:rsidRDefault="009B3A21" w:rsidP="00AE7736">
      <w:pPr>
        <w:pStyle w:val="NormalWeb"/>
        <w:spacing w:before="0" w:beforeAutospacing="0" w:after="0" w:afterAutospacing="0" w:line="280" w:lineRule="exact"/>
        <w:rPr>
          <w:rFonts w:cs="Arial"/>
          <w:sz w:val="20"/>
          <w:szCs w:val="20"/>
          <w:lang w:eastAsia="en-AU"/>
        </w:rPr>
      </w:pPr>
      <w:r w:rsidRPr="00FC2698">
        <w:rPr>
          <w:rFonts w:cs="Arial"/>
          <w:sz w:val="20"/>
          <w:szCs w:val="20"/>
          <w:lang w:eastAsia="en-AU"/>
        </w:rPr>
        <w:t xml:space="preserve">Students whose parents have delayed their entry into Prep by 12 months will </w:t>
      </w:r>
      <w:r>
        <w:rPr>
          <w:rFonts w:cs="Arial"/>
          <w:sz w:val="20"/>
          <w:szCs w:val="20"/>
          <w:lang w:eastAsia="en-AU"/>
        </w:rPr>
        <w:t xml:space="preserve">still </w:t>
      </w:r>
      <w:r w:rsidRPr="00FC2698">
        <w:rPr>
          <w:rFonts w:cs="Arial"/>
          <w:sz w:val="20"/>
          <w:szCs w:val="20"/>
          <w:lang w:eastAsia="en-AU"/>
        </w:rPr>
        <w:t>receive an allocation of 26 semesters of state education</w:t>
      </w:r>
      <w:r>
        <w:rPr>
          <w:rFonts w:cs="Arial"/>
          <w:sz w:val="20"/>
          <w:szCs w:val="20"/>
          <w:lang w:eastAsia="en-AU"/>
        </w:rPr>
        <w:t xml:space="preserve"> if they</w:t>
      </w:r>
      <w:r w:rsidRPr="00FC2698">
        <w:rPr>
          <w:rFonts w:cs="Arial"/>
          <w:sz w:val="20"/>
          <w:szCs w:val="20"/>
          <w:lang w:eastAsia="en-AU"/>
        </w:rPr>
        <w:t>:</w:t>
      </w:r>
    </w:p>
    <w:p w14:paraId="1EAD38EF" w14:textId="77777777" w:rsidR="009B3A21" w:rsidRPr="009B3A21" w:rsidRDefault="009B3A21" w:rsidP="00AE7736">
      <w:pPr>
        <w:pStyle w:val="NormalWeb"/>
        <w:numPr>
          <w:ilvl w:val="0"/>
          <w:numId w:val="3"/>
        </w:numPr>
        <w:spacing w:before="0" w:beforeAutospacing="0" w:after="0" w:afterAutospacing="0" w:line="280" w:lineRule="exact"/>
        <w:rPr>
          <w:rFonts w:cs="Arial"/>
          <w:sz w:val="20"/>
          <w:szCs w:val="20"/>
          <w:lang w:eastAsia="en-AU"/>
        </w:rPr>
      </w:pPr>
      <w:r w:rsidRPr="00FC2698">
        <w:rPr>
          <w:rFonts w:cs="Arial"/>
          <w:sz w:val="20"/>
          <w:szCs w:val="20"/>
          <w:lang w:eastAsia="en-AU"/>
        </w:rPr>
        <w:t xml:space="preserve">begin the Prep </w:t>
      </w:r>
      <w:r>
        <w:rPr>
          <w:rFonts w:cs="Arial"/>
          <w:sz w:val="20"/>
          <w:szCs w:val="20"/>
          <w:lang w:eastAsia="en-AU"/>
        </w:rPr>
        <w:t>Y</w:t>
      </w:r>
      <w:r w:rsidRPr="00FC2698">
        <w:rPr>
          <w:rFonts w:cs="Arial"/>
          <w:sz w:val="20"/>
          <w:szCs w:val="20"/>
          <w:lang w:eastAsia="en-AU"/>
        </w:rPr>
        <w:t xml:space="preserve">ear before they turn six years and six months, </w:t>
      </w:r>
      <w:r w:rsidRPr="00FC2698">
        <w:rPr>
          <w:rFonts w:cs="Arial"/>
          <w:b/>
          <w:sz w:val="20"/>
          <w:szCs w:val="20"/>
          <w:lang w:eastAsia="en-AU"/>
        </w:rPr>
        <w:t>or</w:t>
      </w:r>
    </w:p>
    <w:p w14:paraId="0D1B2793" w14:textId="766DE43D" w:rsidR="009B3A21" w:rsidRPr="009B3A21" w:rsidRDefault="009B3A21" w:rsidP="00AE7736">
      <w:pPr>
        <w:pStyle w:val="NormalWeb"/>
        <w:numPr>
          <w:ilvl w:val="0"/>
          <w:numId w:val="3"/>
        </w:numPr>
        <w:spacing w:before="0" w:beforeAutospacing="0" w:after="0" w:afterAutospacing="0" w:line="280" w:lineRule="exact"/>
        <w:rPr>
          <w:rFonts w:cs="Arial"/>
          <w:sz w:val="20"/>
          <w:szCs w:val="20"/>
          <w:lang w:eastAsia="en-AU"/>
        </w:rPr>
      </w:pPr>
      <w:proofErr w:type="gramStart"/>
      <w:r w:rsidRPr="009B3A21">
        <w:rPr>
          <w:rFonts w:cs="Arial"/>
          <w:sz w:val="20"/>
          <w:szCs w:val="20"/>
          <w:lang w:eastAsia="en-AU"/>
        </w:rPr>
        <w:t>turn</w:t>
      </w:r>
      <w:proofErr w:type="gramEnd"/>
      <w:r w:rsidRPr="009B3A21">
        <w:rPr>
          <w:rFonts w:cs="Arial"/>
          <w:sz w:val="20"/>
          <w:szCs w:val="20"/>
          <w:lang w:eastAsia="en-AU"/>
        </w:rPr>
        <w:t xml:space="preserve"> six years and six months during January prior to the first day of school.</w:t>
      </w:r>
    </w:p>
    <w:p w14:paraId="65C9E0EE" w14:textId="77777777" w:rsidR="009B3A21" w:rsidRDefault="009B3A21" w:rsidP="00AE7736">
      <w:pPr>
        <w:spacing w:line="280" w:lineRule="exact"/>
      </w:pPr>
    </w:p>
    <w:p w14:paraId="40F46CF3" w14:textId="77777777" w:rsidR="00B5171D" w:rsidRPr="00A05FDF" w:rsidRDefault="00B5171D" w:rsidP="00AE7736">
      <w:pPr>
        <w:pStyle w:val="Heading2"/>
        <w:spacing w:before="0" w:after="0" w:line="280" w:lineRule="exact"/>
        <w:jc w:val="both"/>
        <w:rPr>
          <w:rFonts w:cs="Arial"/>
          <w:b/>
          <w:i/>
          <w:sz w:val="22"/>
          <w:szCs w:val="22"/>
        </w:rPr>
      </w:pPr>
      <w:r w:rsidRPr="00A05FDF">
        <w:rPr>
          <w:rFonts w:cs="Arial"/>
          <w:b/>
          <w:i/>
          <w:sz w:val="22"/>
          <w:szCs w:val="22"/>
        </w:rPr>
        <w:t>Exemptions</w:t>
      </w:r>
    </w:p>
    <w:p w14:paraId="55F87672" w14:textId="48BDDC5D" w:rsidR="00B5171D" w:rsidRPr="002F44D2" w:rsidRDefault="00B5171D" w:rsidP="00AE7736">
      <w:pPr>
        <w:spacing w:line="280" w:lineRule="exact"/>
        <w:jc w:val="both"/>
        <w:rPr>
          <w:rFonts w:ascii="Arial" w:hAnsi="Arial" w:cs="Arial"/>
          <w:sz w:val="20"/>
          <w:szCs w:val="20"/>
        </w:rPr>
      </w:pPr>
      <w:r w:rsidRPr="002F44D2">
        <w:rPr>
          <w:rFonts w:ascii="Arial" w:hAnsi="Arial" w:cs="Arial"/>
          <w:sz w:val="20"/>
          <w:szCs w:val="20"/>
        </w:rPr>
        <w:t>Where a student has been granted an exemption from compulsory schooling or compulsory participation, and the student did not receive education during that time from any educational provider, there will be no deduction in their remaining allocation.  For example, if a student was seriously ill and obtained an exemption from compulsory schooling for an indefinite period, then returned to school after one year, those two semesters will not be deducted from the student’s remaining allocation.</w:t>
      </w:r>
      <w:r w:rsidR="00784286">
        <w:rPr>
          <w:rFonts w:ascii="Arial" w:hAnsi="Arial" w:cs="Arial"/>
          <w:sz w:val="20"/>
          <w:szCs w:val="20"/>
        </w:rPr>
        <w:t xml:space="preserve"> </w:t>
      </w:r>
      <w:r w:rsidRPr="002F44D2">
        <w:rPr>
          <w:rFonts w:ascii="Arial" w:hAnsi="Arial" w:cs="Arial"/>
          <w:sz w:val="20"/>
          <w:szCs w:val="20"/>
        </w:rPr>
        <w:t xml:space="preserve">In order for a student’s remaining allocation to be adjusted because of an exemption, the principal refers to documentation evidencing the granting and duration of the exemption. </w:t>
      </w:r>
    </w:p>
    <w:p w14:paraId="37E4D858" w14:textId="77777777" w:rsidR="00BC2520" w:rsidRDefault="00BC2520" w:rsidP="00AE7736">
      <w:pPr>
        <w:spacing w:line="280" w:lineRule="exact"/>
      </w:pPr>
    </w:p>
    <w:p w14:paraId="614C7525" w14:textId="2C4AB3A3" w:rsidR="00B5171D" w:rsidRPr="00A05FDF" w:rsidRDefault="00B5171D" w:rsidP="00AE7736">
      <w:pPr>
        <w:pStyle w:val="Heading2"/>
        <w:spacing w:before="0" w:after="0" w:line="280" w:lineRule="exact"/>
        <w:jc w:val="both"/>
        <w:rPr>
          <w:rFonts w:cs="Arial"/>
          <w:b/>
          <w:i/>
          <w:sz w:val="22"/>
          <w:szCs w:val="22"/>
        </w:rPr>
      </w:pPr>
      <w:r w:rsidRPr="00A05FDF">
        <w:rPr>
          <w:rFonts w:cs="Arial"/>
          <w:b/>
          <w:i/>
          <w:sz w:val="22"/>
          <w:szCs w:val="22"/>
        </w:rPr>
        <w:t>Mature-age students</w:t>
      </w:r>
    </w:p>
    <w:p w14:paraId="06518A61" w14:textId="1032851E" w:rsidR="00B5171D" w:rsidRPr="00052E91" w:rsidRDefault="00B5171D" w:rsidP="00AE7736">
      <w:pPr>
        <w:pStyle w:val="Heading2"/>
        <w:spacing w:before="0" w:after="0" w:line="280" w:lineRule="exact"/>
        <w:jc w:val="both"/>
        <w:rPr>
          <w:rFonts w:cs="Arial"/>
          <w:sz w:val="20"/>
        </w:rPr>
      </w:pPr>
      <w:r w:rsidRPr="00052E91">
        <w:rPr>
          <w:rFonts w:cs="Arial"/>
          <w:sz w:val="20"/>
        </w:rPr>
        <w:t xml:space="preserve">Where a </w:t>
      </w:r>
      <w:r w:rsidR="005061DE">
        <w:rPr>
          <w:rFonts w:cs="Arial"/>
          <w:sz w:val="20"/>
        </w:rPr>
        <w:t>person</w:t>
      </w:r>
      <w:r w:rsidRPr="00052E91">
        <w:rPr>
          <w:rFonts w:cs="Arial"/>
          <w:sz w:val="20"/>
        </w:rPr>
        <w:t xml:space="preserve"> </w:t>
      </w:r>
      <w:hyperlink r:id="rId13" w:history="1">
        <w:r w:rsidRPr="00D3328F">
          <w:rPr>
            <w:rStyle w:val="Hyperlink"/>
            <w:rFonts w:cs="Arial"/>
            <w:sz w:val="20"/>
          </w:rPr>
          <w:t xml:space="preserve">seeks to enrol at a </w:t>
        </w:r>
        <w:r w:rsidR="005061DE" w:rsidRPr="00D3328F">
          <w:rPr>
            <w:rStyle w:val="Hyperlink"/>
            <w:rFonts w:cs="Arial"/>
            <w:sz w:val="20"/>
          </w:rPr>
          <w:t xml:space="preserve">prescribed mature age </w:t>
        </w:r>
        <w:r w:rsidRPr="00D3328F">
          <w:rPr>
            <w:rStyle w:val="Hyperlink"/>
            <w:rFonts w:cs="Arial"/>
            <w:sz w:val="20"/>
          </w:rPr>
          <w:t>state school</w:t>
        </w:r>
        <w:r w:rsidR="005061DE" w:rsidRPr="00D3328F">
          <w:rPr>
            <w:rStyle w:val="Hyperlink"/>
            <w:rFonts w:cs="Arial"/>
            <w:sz w:val="20"/>
          </w:rPr>
          <w:t xml:space="preserve"> as a mature age student</w:t>
        </w:r>
      </w:hyperlink>
      <w:r w:rsidRPr="00052E91">
        <w:rPr>
          <w:rFonts w:cs="Arial"/>
          <w:sz w:val="20"/>
        </w:rPr>
        <w:t xml:space="preserve">, the principal will calculate that student’s remaining allocation, considering all relevant matters as outlined in calculating remaining allocation. </w:t>
      </w:r>
      <w:r w:rsidR="00784286">
        <w:rPr>
          <w:rFonts w:cs="Arial"/>
          <w:sz w:val="20"/>
        </w:rPr>
        <w:t xml:space="preserve"> </w:t>
      </w:r>
      <w:r w:rsidRPr="00052E91">
        <w:rPr>
          <w:rFonts w:cs="Arial"/>
          <w:sz w:val="20"/>
        </w:rPr>
        <w:t>If the student is considered t</w:t>
      </w:r>
      <w:r>
        <w:rPr>
          <w:rFonts w:cs="Arial"/>
          <w:sz w:val="20"/>
        </w:rPr>
        <w:t>o have already benefited from their full allocation of semesters</w:t>
      </w:r>
      <w:r w:rsidRPr="00052E91">
        <w:rPr>
          <w:rFonts w:cs="Arial"/>
          <w:sz w:val="20"/>
        </w:rPr>
        <w:t>, whether in Queensland, interstate or overseas, the student may apply to the principal for an additional allocation of up to 2 semesters. Mature-age students should be advised of the range of options available (such as TAFE) to further their education.</w:t>
      </w:r>
    </w:p>
    <w:p w14:paraId="01366456" w14:textId="77777777" w:rsidR="00B5171D" w:rsidRDefault="00B5171D" w:rsidP="00AE7736">
      <w:pPr>
        <w:spacing w:line="280" w:lineRule="exact"/>
      </w:pPr>
    </w:p>
    <w:p w14:paraId="1EB3FA75" w14:textId="77777777" w:rsidR="002F44D2" w:rsidRPr="00A05FDF" w:rsidRDefault="002F44D2" w:rsidP="00AE7736">
      <w:pPr>
        <w:pStyle w:val="Heading2"/>
        <w:spacing w:before="0" w:after="0" w:line="280" w:lineRule="exact"/>
        <w:jc w:val="both"/>
        <w:rPr>
          <w:rFonts w:cs="Arial"/>
          <w:b/>
          <w:i/>
          <w:sz w:val="22"/>
          <w:szCs w:val="22"/>
        </w:rPr>
      </w:pPr>
      <w:r w:rsidRPr="00A05FDF">
        <w:rPr>
          <w:rFonts w:cs="Arial"/>
          <w:b/>
          <w:i/>
          <w:sz w:val="22"/>
          <w:szCs w:val="22"/>
        </w:rPr>
        <w:t>Pre-Prep</w:t>
      </w:r>
    </w:p>
    <w:p w14:paraId="2253AF2C" w14:textId="3533DD2D" w:rsidR="00DE0B2A" w:rsidRDefault="002F44D2" w:rsidP="00AE7736">
      <w:pPr>
        <w:pStyle w:val="NormalWeb"/>
        <w:spacing w:before="0" w:beforeAutospacing="0" w:after="0" w:afterAutospacing="0" w:line="280" w:lineRule="exact"/>
        <w:jc w:val="both"/>
        <w:rPr>
          <w:rFonts w:cs="Arial"/>
          <w:sz w:val="20"/>
          <w:szCs w:val="20"/>
          <w:lang w:eastAsia="en-AU"/>
        </w:rPr>
      </w:pPr>
      <w:r w:rsidRPr="00052E91">
        <w:rPr>
          <w:rFonts w:cs="Arial"/>
          <w:sz w:val="20"/>
          <w:szCs w:val="20"/>
          <w:lang w:eastAsia="en-AU"/>
        </w:rPr>
        <w:t>A student’s previous registration in a pre-Prep program</w:t>
      </w:r>
      <w:r w:rsidR="00D5273B">
        <w:rPr>
          <w:rFonts w:cs="Arial"/>
          <w:sz w:val="20"/>
          <w:szCs w:val="20"/>
          <w:lang w:eastAsia="en-AU"/>
        </w:rPr>
        <w:t xml:space="preserve"> or Early Childhood Development Program or Service (ECDPs),</w:t>
      </w:r>
      <w:r w:rsidRPr="00052E91">
        <w:rPr>
          <w:rFonts w:cs="Arial"/>
          <w:sz w:val="20"/>
          <w:szCs w:val="20"/>
          <w:lang w:eastAsia="en-AU"/>
        </w:rPr>
        <w:t xml:space="preserve"> does not count towards the allocation of semesters.</w:t>
      </w:r>
    </w:p>
    <w:p w14:paraId="0444C139" w14:textId="77777777" w:rsidR="00AE7736" w:rsidRPr="00AE7736" w:rsidRDefault="00AE7736" w:rsidP="00AE7736">
      <w:pPr>
        <w:pStyle w:val="NormalWeb"/>
        <w:spacing w:before="0" w:beforeAutospacing="0" w:after="0" w:afterAutospacing="0" w:line="280" w:lineRule="exact"/>
        <w:jc w:val="both"/>
        <w:rPr>
          <w:rFonts w:cs="Arial"/>
          <w:sz w:val="20"/>
          <w:szCs w:val="20"/>
          <w:lang w:eastAsia="en-AU"/>
        </w:rPr>
      </w:pPr>
    </w:p>
    <w:p w14:paraId="637A9E8C" w14:textId="26D2102E" w:rsidR="009B3A21" w:rsidRDefault="009B3A21" w:rsidP="00AE7736">
      <w:pPr>
        <w:pStyle w:val="Heading2"/>
        <w:spacing w:before="0" w:after="0" w:line="280" w:lineRule="exact"/>
        <w:jc w:val="both"/>
        <w:rPr>
          <w:rFonts w:cs="Arial"/>
          <w:b/>
          <w:i/>
          <w:sz w:val="22"/>
          <w:szCs w:val="22"/>
        </w:rPr>
      </w:pPr>
      <w:r>
        <w:rPr>
          <w:rFonts w:cs="Arial"/>
          <w:b/>
          <w:i/>
          <w:sz w:val="22"/>
          <w:szCs w:val="22"/>
        </w:rPr>
        <w:t>Prior to turning 16 years</w:t>
      </w:r>
    </w:p>
    <w:p w14:paraId="2935F290" w14:textId="77777777" w:rsidR="009B3A21" w:rsidRDefault="009B3A21" w:rsidP="00AE7736">
      <w:pPr>
        <w:pStyle w:val="NormalWeb"/>
        <w:spacing w:before="0" w:beforeAutospacing="0" w:after="0" w:afterAutospacing="0" w:line="280" w:lineRule="exact"/>
        <w:rPr>
          <w:rFonts w:cs="Arial"/>
          <w:color w:val="000000"/>
          <w:sz w:val="20"/>
          <w:szCs w:val="20"/>
        </w:rPr>
      </w:pPr>
      <w:r w:rsidRPr="0058015D">
        <w:rPr>
          <w:rFonts w:cs="Arial"/>
          <w:color w:val="000000"/>
          <w:sz w:val="20"/>
          <w:szCs w:val="20"/>
        </w:rPr>
        <w:t>Students who have been enrolled for their basic allocation of semesters prior to turning 16 and who want to continue their enrolment</w:t>
      </w:r>
      <w:r>
        <w:rPr>
          <w:rFonts w:cs="Arial" w:hint="eastAsia"/>
          <w:color w:val="000000"/>
          <w:sz w:val="20"/>
          <w:szCs w:val="20"/>
        </w:rPr>
        <w:t>,</w:t>
      </w:r>
      <w:r w:rsidRPr="0058015D">
        <w:rPr>
          <w:rFonts w:cs="Arial"/>
          <w:color w:val="000000"/>
          <w:sz w:val="20"/>
          <w:szCs w:val="20"/>
        </w:rPr>
        <w:t xml:space="preserve"> may remain at school until the end of the semester in which they turn 16 without making an application for additional semesters.</w:t>
      </w:r>
    </w:p>
    <w:p w14:paraId="72214CAE" w14:textId="77777777" w:rsidR="009B3A21" w:rsidRDefault="009B3A21" w:rsidP="00AE7736">
      <w:pPr>
        <w:spacing w:line="280" w:lineRule="exact"/>
      </w:pPr>
    </w:p>
    <w:p w14:paraId="418BC1D2" w14:textId="77777777" w:rsidR="00B5171D" w:rsidRPr="00A05FDF" w:rsidRDefault="00B5171D" w:rsidP="00AE7736">
      <w:pPr>
        <w:pStyle w:val="Heading2"/>
        <w:spacing w:before="0" w:after="0" w:line="280" w:lineRule="exact"/>
        <w:jc w:val="both"/>
        <w:rPr>
          <w:rFonts w:cs="Arial"/>
          <w:b/>
          <w:i/>
          <w:sz w:val="22"/>
          <w:szCs w:val="22"/>
        </w:rPr>
      </w:pPr>
      <w:r w:rsidRPr="00A05FDF">
        <w:rPr>
          <w:rFonts w:cs="Arial"/>
          <w:b/>
          <w:i/>
          <w:sz w:val="22"/>
          <w:szCs w:val="22"/>
        </w:rPr>
        <w:t>Refugee students</w:t>
      </w:r>
    </w:p>
    <w:p w14:paraId="1446994E" w14:textId="73B98865" w:rsidR="00B5171D" w:rsidRPr="00052E91" w:rsidRDefault="00B5171D" w:rsidP="00AE7736">
      <w:pPr>
        <w:pStyle w:val="NormalWeb"/>
        <w:spacing w:before="0" w:beforeAutospacing="0" w:after="0" w:afterAutospacing="0" w:line="280" w:lineRule="exact"/>
        <w:jc w:val="both"/>
        <w:rPr>
          <w:rFonts w:cs="Arial"/>
          <w:sz w:val="20"/>
          <w:szCs w:val="20"/>
          <w:lang w:eastAsia="en-AU"/>
        </w:rPr>
      </w:pPr>
      <w:r w:rsidRPr="00052E91">
        <w:rPr>
          <w:rFonts w:cs="Arial"/>
          <w:sz w:val="20"/>
          <w:szCs w:val="20"/>
          <w:lang w:eastAsia="en-AU"/>
        </w:rPr>
        <w:t xml:space="preserve">Where a refugee student seeks to enrol in a Queensland state school having received no education prior to arrival and is older than </w:t>
      </w:r>
      <w:r w:rsidR="007025CA">
        <w:rPr>
          <w:rFonts w:cs="Arial"/>
          <w:sz w:val="20"/>
          <w:szCs w:val="20"/>
          <w:lang w:eastAsia="en-AU"/>
        </w:rPr>
        <w:t>seven</w:t>
      </w:r>
      <w:r w:rsidRPr="00052E91">
        <w:rPr>
          <w:rFonts w:cs="Arial"/>
          <w:sz w:val="20"/>
          <w:szCs w:val="20"/>
          <w:lang w:eastAsia="en-AU"/>
        </w:rPr>
        <w:t xml:space="preserve"> years and six months, or has received some but not their full entitlement to education in their homeland, the principal calculates the student’s remaining allocation considering all relevant matters as outlined in calc</w:t>
      </w:r>
      <w:r w:rsidR="00784286">
        <w:rPr>
          <w:rFonts w:cs="Arial"/>
          <w:sz w:val="20"/>
          <w:szCs w:val="20"/>
          <w:lang w:eastAsia="en-AU"/>
        </w:rPr>
        <w:t xml:space="preserve">ulating remaining allocation.  </w:t>
      </w:r>
      <w:r w:rsidRPr="00052E91">
        <w:rPr>
          <w:rFonts w:cs="Arial"/>
          <w:sz w:val="20"/>
          <w:szCs w:val="20"/>
          <w:lang w:eastAsia="en-AU"/>
        </w:rPr>
        <w:t>As an example, if a student commences state education in Year 8, their remaining allocation will usually be calculated as 10 semesters. However, a refugee student may be placed in Year 8 and allocated more than 10 remaining semesters. Alternatively, other education or training options may be more appropriate for older students</w:t>
      </w:r>
      <w:r w:rsidR="007025CA">
        <w:rPr>
          <w:rFonts w:cs="Arial"/>
          <w:sz w:val="20"/>
          <w:szCs w:val="20"/>
          <w:lang w:eastAsia="en-AU"/>
        </w:rPr>
        <w:t xml:space="preserve"> (e.g. TAFE)</w:t>
      </w:r>
      <w:r w:rsidRPr="00052E91">
        <w:rPr>
          <w:rFonts w:cs="Arial"/>
          <w:sz w:val="20"/>
          <w:szCs w:val="20"/>
          <w:lang w:eastAsia="en-AU"/>
        </w:rPr>
        <w:t>.</w:t>
      </w:r>
    </w:p>
    <w:p w14:paraId="73741488" w14:textId="77777777" w:rsidR="00B5171D" w:rsidRDefault="00B5171D" w:rsidP="00AE7736">
      <w:pPr>
        <w:spacing w:line="280" w:lineRule="exact"/>
      </w:pPr>
    </w:p>
    <w:p w14:paraId="4744A562" w14:textId="77777777" w:rsidR="00B5171D" w:rsidRPr="00A05FDF" w:rsidRDefault="00B5171D" w:rsidP="00AE7736">
      <w:pPr>
        <w:pStyle w:val="Heading2"/>
        <w:spacing w:before="0" w:after="0" w:line="280" w:lineRule="exact"/>
        <w:jc w:val="both"/>
        <w:rPr>
          <w:rFonts w:cs="Arial"/>
          <w:b/>
          <w:i/>
          <w:sz w:val="22"/>
          <w:szCs w:val="22"/>
        </w:rPr>
      </w:pPr>
      <w:r w:rsidRPr="00A05FDF">
        <w:rPr>
          <w:rFonts w:cs="Arial"/>
          <w:b/>
          <w:i/>
          <w:sz w:val="22"/>
          <w:szCs w:val="22"/>
        </w:rPr>
        <w:t>Repeating students</w:t>
      </w:r>
    </w:p>
    <w:p w14:paraId="498F82B0" w14:textId="27C426DA" w:rsidR="00B5171D" w:rsidRDefault="00B5171D" w:rsidP="00AE7736">
      <w:pPr>
        <w:spacing w:line="280" w:lineRule="exact"/>
        <w:jc w:val="both"/>
        <w:rPr>
          <w:rFonts w:ascii="Arial" w:hAnsi="Arial" w:cs="Arial"/>
          <w:sz w:val="20"/>
        </w:rPr>
      </w:pPr>
      <w:r w:rsidRPr="002F44D2">
        <w:rPr>
          <w:rFonts w:ascii="Arial" w:hAnsi="Arial" w:cs="Arial"/>
          <w:sz w:val="20"/>
        </w:rPr>
        <w:t xml:space="preserve">Students should only repeat </w:t>
      </w:r>
      <w:r w:rsidR="00D3328F">
        <w:rPr>
          <w:rFonts w:ascii="Arial" w:hAnsi="Arial" w:cs="Arial"/>
          <w:sz w:val="20"/>
        </w:rPr>
        <w:t xml:space="preserve">a year level </w:t>
      </w:r>
      <w:r w:rsidRPr="002F44D2">
        <w:rPr>
          <w:rFonts w:ascii="Arial" w:hAnsi="Arial" w:cs="Arial"/>
          <w:sz w:val="20"/>
        </w:rPr>
        <w:t>where the principal has given approval. If a student repeats</w:t>
      </w:r>
      <w:r w:rsidR="00D3328F">
        <w:rPr>
          <w:rFonts w:ascii="Arial" w:hAnsi="Arial" w:cs="Arial"/>
          <w:sz w:val="20"/>
        </w:rPr>
        <w:t xml:space="preserve"> a year level</w:t>
      </w:r>
      <w:r w:rsidRPr="002F44D2">
        <w:rPr>
          <w:rFonts w:ascii="Arial" w:hAnsi="Arial" w:cs="Arial"/>
          <w:sz w:val="20"/>
        </w:rPr>
        <w:t>, the principal determines the student’s remaining allocation of semesters.</w:t>
      </w:r>
      <w:r w:rsidR="00F63B12">
        <w:rPr>
          <w:rFonts w:ascii="Arial" w:hAnsi="Arial" w:cs="Arial"/>
          <w:sz w:val="20"/>
        </w:rPr>
        <w:t xml:space="preserve"> </w:t>
      </w:r>
    </w:p>
    <w:p w14:paraId="2181D43B" w14:textId="77777777" w:rsidR="0040504B" w:rsidRPr="0040504B" w:rsidRDefault="0040504B" w:rsidP="00AE7736">
      <w:pPr>
        <w:spacing w:line="280" w:lineRule="exact"/>
        <w:jc w:val="both"/>
        <w:rPr>
          <w:rFonts w:ascii="Arial" w:hAnsi="Arial" w:cs="Arial"/>
          <w:sz w:val="20"/>
        </w:rPr>
      </w:pPr>
    </w:p>
    <w:p w14:paraId="2195670A" w14:textId="77777777" w:rsidR="002F44D2" w:rsidRPr="00A05FDF" w:rsidRDefault="002F44D2" w:rsidP="00AE7736">
      <w:pPr>
        <w:pStyle w:val="Heading2"/>
        <w:spacing w:before="0" w:after="0" w:line="280" w:lineRule="exact"/>
        <w:jc w:val="both"/>
        <w:rPr>
          <w:rFonts w:cs="Arial"/>
          <w:b/>
          <w:i/>
          <w:sz w:val="22"/>
          <w:szCs w:val="22"/>
        </w:rPr>
      </w:pPr>
      <w:r w:rsidRPr="00A05FDF">
        <w:rPr>
          <w:rFonts w:cs="Arial"/>
          <w:b/>
          <w:i/>
          <w:sz w:val="22"/>
          <w:szCs w:val="22"/>
        </w:rPr>
        <w:t>Students from non-state schools, home education, interstate or overseas</w:t>
      </w:r>
    </w:p>
    <w:p w14:paraId="50E3B417" w14:textId="4596BA48" w:rsidR="002F44D2" w:rsidRPr="00052E91" w:rsidRDefault="00A05FDF" w:rsidP="00AE7736">
      <w:pPr>
        <w:pStyle w:val="NormalWeb"/>
        <w:spacing w:before="0" w:beforeAutospacing="0" w:after="0" w:afterAutospacing="0" w:line="280" w:lineRule="exact"/>
        <w:jc w:val="both"/>
        <w:rPr>
          <w:rFonts w:cs="Arial"/>
          <w:sz w:val="20"/>
          <w:szCs w:val="20"/>
          <w:lang w:eastAsia="en-AU"/>
        </w:rPr>
      </w:pPr>
      <w:r w:rsidRPr="00052E91">
        <w:rPr>
          <w:rFonts w:cs="Arial"/>
          <w:bCs/>
          <w:sz w:val="20"/>
          <w:szCs w:val="20"/>
        </w:rPr>
        <w:t xml:space="preserve">For example, </w:t>
      </w:r>
      <w:r>
        <w:rPr>
          <w:rFonts w:cs="Arial"/>
          <w:bCs/>
          <w:sz w:val="20"/>
          <w:szCs w:val="20"/>
        </w:rPr>
        <w:t xml:space="preserve">if </w:t>
      </w:r>
      <w:r w:rsidRPr="00052E91">
        <w:rPr>
          <w:rFonts w:cs="Arial"/>
          <w:bCs/>
          <w:sz w:val="20"/>
          <w:szCs w:val="20"/>
        </w:rPr>
        <w:t xml:space="preserve">a prospective student aged 14 years who has completed Year 9 at a </w:t>
      </w:r>
      <w:r>
        <w:rPr>
          <w:rFonts w:cs="Arial"/>
          <w:bCs/>
          <w:sz w:val="20"/>
          <w:szCs w:val="20"/>
        </w:rPr>
        <w:t>non-state school seeks</w:t>
      </w:r>
      <w:r w:rsidRPr="00052E91">
        <w:rPr>
          <w:rFonts w:cs="Arial"/>
          <w:bCs/>
          <w:sz w:val="20"/>
          <w:szCs w:val="20"/>
        </w:rPr>
        <w:t xml:space="preserve"> enrolment at a state school at the beginning of a new school year</w:t>
      </w:r>
      <w:r>
        <w:rPr>
          <w:rFonts w:cs="Arial"/>
          <w:bCs/>
          <w:sz w:val="20"/>
          <w:szCs w:val="20"/>
        </w:rPr>
        <w:t>,</w:t>
      </w:r>
      <w:r w:rsidRPr="00052E91">
        <w:rPr>
          <w:rFonts w:cs="Arial"/>
          <w:bCs/>
          <w:sz w:val="20"/>
          <w:szCs w:val="20"/>
        </w:rPr>
        <w:t xml:space="preserve"> </w:t>
      </w:r>
      <w:r>
        <w:rPr>
          <w:rFonts w:cs="Arial"/>
          <w:bCs/>
          <w:sz w:val="20"/>
          <w:szCs w:val="20"/>
        </w:rPr>
        <w:t>t</w:t>
      </w:r>
      <w:r w:rsidRPr="00052E91">
        <w:rPr>
          <w:rFonts w:cs="Arial"/>
          <w:bCs/>
          <w:sz w:val="20"/>
          <w:szCs w:val="20"/>
        </w:rPr>
        <w:t xml:space="preserve">he school could request </w:t>
      </w:r>
      <w:hyperlink r:id="rId14" w:history="1">
        <w:r w:rsidRPr="00D3328F">
          <w:rPr>
            <w:rStyle w:val="Hyperlink"/>
            <w:rFonts w:cs="Arial"/>
            <w:bCs/>
            <w:sz w:val="20"/>
            <w:szCs w:val="20"/>
          </w:rPr>
          <w:t>a Student Transfer Note</w:t>
        </w:r>
      </w:hyperlink>
      <w:r w:rsidRPr="00052E91">
        <w:rPr>
          <w:rFonts w:cs="Arial"/>
          <w:bCs/>
          <w:sz w:val="20"/>
          <w:szCs w:val="20"/>
        </w:rPr>
        <w:t xml:space="preserve"> from the </w:t>
      </w:r>
      <w:r>
        <w:rPr>
          <w:rFonts w:cs="Arial"/>
          <w:bCs/>
          <w:sz w:val="20"/>
          <w:szCs w:val="20"/>
        </w:rPr>
        <w:t>non-state school</w:t>
      </w:r>
      <w:r w:rsidRPr="00052E91">
        <w:rPr>
          <w:rFonts w:cs="Arial"/>
          <w:bCs/>
          <w:sz w:val="20"/>
          <w:szCs w:val="20"/>
        </w:rPr>
        <w:t xml:space="preserve"> to determine what will be the best school year for the student</w:t>
      </w:r>
      <w:r>
        <w:rPr>
          <w:rFonts w:cs="Arial"/>
          <w:bCs/>
          <w:sz w:val="20"/>
          <w:szCs w:val="20"/>
        </w:rPr>
        <w:t>. I</w:t>
      </w:r>
      <w:r w:rsidRPr="00052E91">
        <w:rPr>
          <w:rFonts w:cs="Arial"/>
          <w:bCs/>
          <w:sz w:val="20"/>
          <w:szCs w:val="20"/>
        </w:rPr>
        <w:t xml:space="preserve">f there is </w:t>
      </w:r>
      <w:r>
        <w:rPr>
          <w:rFonts w:cs="Arial"/>
          <w:bCs/>
          <w:sz w:val="20"/>
          <w:szCs w:val="20"/>
        </w:rPr>
        <w:t>insufficient</w:t>
      </w:r>
      <w:r w:rsidRPr="00052E91">
        <w:rPr>
          <w:rFonts w:cs="Arial"/>
          <w:bCs/>
          <w:sz w:val="20"/>
          <w:szCs w:val="20"/>
        </w:rPr>
        <w:t xml:space="preserve"> information </w:t>
      </w:r>
      <w:r>
        <w:rPr>
          <w:rFonts w:cs="Arial"/>
          <w:bCs/>
          <w:sz w:val="20"/>
          <w:szCs w:val="20"/>
        </w:rPr>
        <w:t>to determine the year level of the</w:t>
      </w:r>
      <w:r w:rsidRPr="00052E91">
        <w:rPr>
          <w:rFonts w:cs="Arial"/>
          <w:bCs/>
          <w:sz w:val="20"/>
          <w:szCs w:val="20"/>
        </w:rPr>
        <w:t xml:space="preserve"> student</w:t>
      </w:r>
      <w:r>
        <w:rPr>
          <w:rFonts w:cs="Arial"/>
          <w:bCs/>
          <w:sz w:val="20"/>
          <w:szCs w:val="20"/>
        </w:rPr>
        <w:t xml:space="preserve"> but </w:t>
      </w:r>
      <w:r w:rsidRPr="00052E91">
        <w:rPr>
          <w:rFonts w:cs="Arial"/>
          <w:bCs/>
          <w:sz w:val="20"/>
          <w:szCs w:val="20"/>
        </w:rPr>
        <w:t>there is enough information to indicate that the student is suitable to be enrolled in Year 10, then the student’s remaining allocation will be 6 semesters (including Year 10).</w:t>
      </w:r>
      <w:r w:rsidR="00784286">
        <w:rPr>
          <w:rFonts w:cs="Arial"/>
          <w:sz w:val="20"/>
          <w:szCs w:val="20"/>
          <w:lang w:eastAsia="en-AU"/>
        </w:rPr>
        <w:t xml:space="preserve"> </w:t>
      </w:r>
      <w:r w:rsidR="002F44D2" w:rsidRPr="00052E91">
        <w:rPr>
          <w:rFonts w:cs="Arial"/>
          <w:sz w:val="20"/>
          <w:szCs w:val="20"/>
          <w:lang w:eastAsia="en-AU"/>
        </w:rPr>
        <w:t xml:space="preserve">Where a student enrols at a state school having received education in another jurisdiction, the principal calculates the student’s remaining allocation considering </w:t>
      </w:r>
      <w:r w:rsidR="002F44D2" w:rsidRPr="00D50211">
        <w:rPr>
          <w:rFonts w:cs="Arial"/>
          <w:sz w:val="20"/>
          <w:szCs w:val="20"/>
          <w:lang w:eastAsia="en-AU"/>
        </w:rPr>
        <w:t>all relevant matters</w:t>
      </w:r>
      <w:r w:rsidR="002F44D2" w:rsidRPr="00052E91">
        <w:rPr>
          <w:rFonts w:cs="Arial"/>
          <w:sz w:val="20"/>
          <w:szCs w:val="20"/>
          <w:lang w:eastAsia="en-AU"/>
        </w:rPr>
        <w:t xml:space="preserve">.   </w:t>
      </w:r>
    </w:p>
    <w:p w14:paraId="4A80C04E" w14:textId="77777777" w:rsidR="00BC2520" w:rsidRDefault="00BC2520" w:rsidP="00AE7736">
      <w:pPr>
        <w:pStyle w:val="NormalWeb"/>
        <w:spacing w:before="0" w:beforeAutospacing="0" w:after="0" w:afterAutospacing="0" w:line="280" w:lineRule="exact"/>
        <w:jc w:val="both"/>
        <w:rPr>
          <w:rFonts w:cs="Arial"/>
          <w:sz w:val="20"/>
          <w:szCs w:val="20"/>
          <w:lang w:eastAsia="en-AU"/>
        </w:rPr>
      </w:pPr>
    </w:p>
    <w:p w14:paraId="485E4408" w14:textId="77777777" w:rsidR="002F44D2" w:rsidRPr="00052E91" w:rsidRDefault="002F44D2" w:rsidP="00AE7736">
      <w:pPr>
        <w:pStyle w:val="NormalWeb"/>
        <w:spacing w:before="0" w:beforeAutospacing="0" w:after="0" w:afterAutospacing="0" w:line="280" w:lineRule="exact"/>
        <w:jc w:val="both"/>
        <w:rPr>
          <w:rFonts w:cs="Arial"/>
          <w:color w:val="000000"/>
          <w:sz w:val="20"/>
          <w:szCs w:val="20"/>
        </w:rPr>
      </w:pPr>
      <w:r w:rsidRPr="00052E91">
        <w:rPr>
          <w:rFonts w:cs="Arial"/>
          <w:sz w:val="20"/>
          <w:szCs w:val="20"/>
          <w:lang w:eastAsia="en-AU"/>
        </w:rPr>
        <w:t xml:space="preserve">Usually, </w:t>
      </w:r>
      <w:r w:rsidRPr="00052E91">
        <w:rPr>
          <w:rFonts w:cs="Arial"/>
          <w:color w:val="000000"/>
          <w:sz w:val="20"/>
          <w:szCs w:val="20"/>
        </w:rPr>
        <w:t>decisions will be made based on the Queensland equivalent for that student's age, unless other information can be provided. So, for example,</w:t>
      </w:r>
      <w:r>
        <w:rPr>
          <w:rFonts w:cs="Arial"/>
          <w:color w:val="000000"/>
          <w:sz w:val="20"/>
          <w:szCs w:val="20"/>
        </w:rPr>
        <w:t xml:space="preserve"> </w:t>
      </w:r>
      <w:r w:rsidRPr="00052E91">
        <w:rPr>
          <w:rFonts w:cs="Arial"/>
          <w:color w:val="000000"/>
          <w:sz w:val="20"/>
          <w:szCs w:val="20"/>
        </w:rPr>
        <w:t>a student who has received education in another jurisdiction and has enrolled in Year 8 in a state school during January of a particular year will be determined to have previously accessed 1</w:t>
      </w:r>
      <w:r>
        <w:rPr>
          <w:rFonts w:cs="Arial"/>
          <w:color w:val="000000"/>
          <w:sz w:val="20"/>
          <w:szCs w:val="20"/>
        </w:rPr>
        <w:t>6</w:t>
      </w:r>
      <w:r w:rsidRPr="00052E91">
        <w:rPr>
          <w:rFonts w:cs="Arial"/>
          <w:color w:val="000000"/>
          <w:sz w:val="20"/>
          <w:szCs w:val="20"/>
        </w:rPr>
        <w:t xml:space="preserve"> semesters of education. This student’s remaining allocation will commence from the beginning of the semester in which the student enters school and they would normally be allocated 10 remaining semesters. </w:t>
      </w:r>
    </w:p>
    <w:p w14:paraId="6364BC9F" w14:textId="77777777" w:rsidR="00BC2520" w:rsidRDefault="00BC2520" w:rsidP="00AE7736">
      <w:pPr>
        <w:pStyle w:val="NormalWeb"/>
        <w:spacing w:before="0" w:beforeAutospacing="0" w:after="0" w:afterAutospacing="0" w:line="280" w:lineRule="exact"/>
        <w:jc w:val="both"/>
        <w:rPr>
          <w:rFonts w:cs="Arial"/>
          <w:color w:val="000000"/>
          <w:sz w:val="20"/>
          <w:szCs w:val="20"/>
        </w:rPr>
      </w:pPr>
    </w:p>
    <w:p w14:paraId="6A75813E" w14:textId="451E75AA" w:rsidR="009B3A21" w:rsidRDefault="002F44D2" w:rsidP="00AE7736">
      <w:pPr>
        <w:pStyle w:val="NormalWeb"/>
        <w:spacing w:before="0" w:beforeAutospacing="0" w:after="0" w:afterAutospacing="0" w:line="280" w:lineRule="exact"/>
        <w:jc w:val="both"/>
        <w:rPr>
          <w:rFonts w:cs="Arial"/>
          <w:color w:val="000000"/>
          <w:sz w:val="20"/>
          <w:szCs w:val="20"/>
        </w:rPr>
      </w:pPr>
      <w:r w:rsidRPr="00052E91">
        <w:rPr>
          <w:rFonts w:cs="Arial"/>
          <w:color w:val="000000"/>
          <w:sz w:val="20"/>
          <w:szCs w:val="20"/>
        </w:rPr>
        <w:t xml:space="preserve">Decisions for students from overseas, particularly those who have received little or no formal education compared with their age peers, can be more complex. In some cases, a principal may place a student in Year 8 due to their age but allocate them more than 10 remaining semesters of state education based on their projected progress. </w:t>
      </w:r>
    </w:p>
    <w:p w14:paraId="3B4E754E" w14:textId="77777777" w:rsidR="00AE7736" w:rsidRPr="0040504B" w:rsidRDefault="00AE7736" w:rsidP="00AE7736">
      <w:pPr>
        <w:pStyle w:val="NormalWeb"/>
        <w:spacing w:before="0" w:beforeAutospacing="0" w:after="0" w:afterAutospacing="0" w:line="280" w:lineRule="exact"/>
        <w:jc w:val="both"/>
        <w:rPr>
          <w:rFonts w:cs="Arial"/>
          <w:color w:val="000000"/>
          <w:sz w:val="20"/>
          <w:szCs w:val="20"/>
        </w:rPr>
      </w:pPr>
    </w:p>
    <w:p w14:paraId="15A7553B" w14:textId="4F7D86E2" w:rsidR="009B3A21" w:rsidRDefault="009B3A21" w:rsidP="00AE7736">
      <w:pPr>
        <w:pStyle w:val="Heading2"/>
        <w:spacing w:before="0" w:after="0" w:line="280" w:lineRule="exact"/>
        <w:jc w:val="both"/>
        <w:rPr>
          <w:rFonts w:cs="Arial"/>
          <w:b/>
          <w:i/>
          <w:sz w:val="22"/>
          <w:szCs w:val="22"/>
        </w:rPr>
      </w:pPr>
      <w:r w:rsidRPr="009B3A21">
        <w:rPr>
          <w:rFonts w:cs="Arial"/>
          <w:b/>
          <w:i/>
          <w:sz w:val="22"/>
          <w:szCs w:val="22"/>
        </w:rPr>
        <w:t>Students undertaking a combination of studies</w:t>
      </w:r>
    </w:p>
    <w:p w14:paraId="38EC0A0E" w14:textId="116E4337" w:rsidR="009B3A21" w:rsidRPr="009B3A21" w:rsidRDefault="009B3A21" w:rsidP="00AE7736">
      <w:pPr>
        <w:spacing w:line="280" w:lineRule="exact"/>
      </w:pPr>
      <w:r w:rsidRPr="00AA1A2C">
        <w:rPr>
          <w:rFonts w:ascii="Arial" w:hAnsi="Arial" w:cs="Arial"/>
          <w:sz w:val="20"/>
          <w:szCs w:val="20"/>
        </w:rPr>
        <w:t>Students enrolled in or attending secondary or special schools and undertaking a combination of studies – for example, vocational education and training subjects, TAFE courses or part-time school-based apprenticeship/traineeship arrangements – will generally be regarded as undertaking full-time education for the purposes of calculating semester allocation.</w:t>
      </w:r>
    </w:p>
    <w:sectPr w:rsidR="009B3A21" w:rsidRPr="009B3A21" w:rsidSect="0071657F">
      <w:headerReference w:type="default" r:id="rId15"/>
      <w:footerReference w:type="default" r:id="rId16"/>
      <w:headerReference w:type="first" r:id="rId17"/>
      <w:footerReference w:type="first" r:id="rId18"/>
      <w:pgSz w:w="16838" w:h="11906" w:orient="landscape"/>
      <w:pgMar w:top="1424" w:right="851" w:bottom="1418" w:left="851" w:header="709"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290C0" w14:textId="77777777" w:rsidR="005C66B0" w:rsidRDefault="005C66B0">
      <w:r>
        <w:separator/>
      </w:r>
    </w:p>
  </w:endnote>
  <w:endnote w:type="continuationSeparator" w:id="0">
    <w:p w14:paraId="4648511D" w14:textId="77777777" w:rsidR="005C66B0" w:rsidRDefault="005C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4E4F" w14:textId="77777777" w:rsidR="0071657F" w:rsidRDefault="0071657F" w:rsidP="0071657F">
    <w:pPr>
      <w:pStyle w:val="ListParagraph"/>
      <w:tabs>
        <w:tab w:val="right" w:pos="10206"/>
      </w:tabs>
      <w:spacing w:after="0"/>
      <w:ind w:left="0"/>
      <w:rPr>
        <w:rFonts w:ascii="Arial" w:hAnsi="Arial" w:cs="Arial"/>
        <w:color w:val="A6A6A6"/>
        <w:sz w:val="16"/>
        <w:szCs w:val="16"/>
      </w:rPr>
    </w:pPr>
    <w:r>
      <w:rPr>
        <w:noProof/>
      </w:rPr>
      <w:drawing>
        <wp:anchor distT="0" distB="0" distL="114300" distR="114300" simplePos="0" relativeHeight="251667968" behindDoc="0" locked="0" layoutInCell="1" allowOverlap="1" wp14:anchorId="56D8DB54" wp14:editId="5862F7B6">
          <wp:simplePos x="0" y="0"/>
          <wp:positionH relativeFrom="margin">
            <wp:align>right</wp:align>
          </wp:positionH>
          <wp:positionV relativeFrom="paragraph">
            <wp:posOffset>-285699</wp:posOffset>
          </wp:positionV>
          <wp:extent cx="1660525" cy="694055"/>
          <wp:effectExtent l="0" t="0" r="0" b="0"/>
          <wp:wrapThrough wrapText="bothSides">
            <wp:wrapPolygon edited="0">
              <wp:start x="0" y="0"/>
              <wp:lineTo x="0" y="20750"/>
              <wp:lineTo x="21311" y="20750"/>
              <wp:lineTo x="2131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60525" cy="694055"/>
                  </a:xfrm>
                  <a:prstGeom prst="rect">
                    <a:avLst/>
                  </a:prstGeom>
                </pic:spPr>
              </pic:pic>
            </a:graphicData>
          </a:graphic>
          <wp14:sizeRelH relativeFrom="margin">
            <wp14:pctWidth>0</wp14:pctWidth>
          </wp14:sizeRelH>
          <wp14:sizeRelV relativeFrom="margin">
            <wp14:pctHeight>0</wp14:pctHeight>
          </wp14:sizeRelV>
        </wp:anchor>
      </w:drawing>
    </w:r>
    <w:r w:rsidRPr="00927407">
      <w:rPr>
        <w:rFonts w:ascii="Arial" w:hAnsi="Arial" w:cs="Arial"/>
        <w:b/>
        <w:sz w:val="16"/>
        <w:szCs w:val="16"/>
      </w:rPr>
      <w:t xml:space="preserve">Uncontrolled copy. </w:t>
    </w:r>
    <w:r w:rsidRPr="00927407">
      <w:rPr>
        <w:rFonts w:ascii="Arial" w:hAnsi="Arial" w:cs="Arial"/>
        <w:sz w:val="16"/>
        <w:szCs w:val="16"/>
      </w:rPr>
      <w:t>Refer to the Department of Education Policy and Procedure Register at</w:t>
    </w:r>
    <w:r>
      <w:rPr>
        <w:rFonts w:ascii="Arial" w:hAnsi="Arial" w:cs="Arial"/>
        <w:sz w:val="16"/>
        <w:szCs w:val="16"/>
      </w:rPr>
      <w:t xml:space="preserve"> </w:t>
    </w:r>
    <w:hyperlink r:id="rId2" w:history="1">
      <w:r w:rsidRPr="00221107">
        <w:rPr>
          <w:rStyle w:val="Hyperlink"/>
          <w:rFonts w:ascii="Arial" w:hAnsi="Arial" w:cs="Arial"/>
          <w:sz w:val="16"/>
          <w:szCs w:val="16"/>
        </w:rPr>
        <w:t>https://ppr.qed.qld.gov.au/pp/allocation-of-state-education-procedure</w:t>
      </w:r>
    </w:hyperlink>
    <w:r>
      <w:rPr>
        <w:rFonts w:ascii="Arial" w:hAnsi="Arial" w:cs="Arial"/>
        <w:sz w:val="16"/>
        <w:szCs w:val="16"/>
      </w:rPr>
      <w:t xml:space="preserve"> </w:t>
    </w:r>
    <w:r>
      <w:rPr>
        <w:rFonts w:ascii="Arial" w:hAnsi="Arial" w:cs="Arial"/>
        <w:color w:val="A6A6A6"/>
        <w:sz w:val="16"/>
        <w:szCs w:val="16"/>
      </w:rPr>
      <w:t xml:space="preserve"> </w:t>
    </w:r>
  </w:p>
  <w:p w14:paraId="2388EC2A" w14:textId="5DA8FCEB" w:rsidR="0071657F" w:rsidRPr="00CD3470" w:rsidRDefault="0071657F" w:rsidP="0071657F">
    <w:pPr>
      <w:pStyle w:val="ListParagraph"/>
      <w:tabs>
        <w:tab w:val="right" w:pos="12191"/>
      </w:tabs>
      <w:spacing w:after="0"/>
      <w:ind w:left="0"/>
      <w:rPr>
        <w:sz w:val="16"/>
        <w:szCs w:val="16"/>
      </w:rPr>
    </w:pPr>
    <w:hyperlink r:id="rId3" w:history="1"/>
    <w:proofErr w:type="gramStart"/>
    <w:r w:rsidRPr="00927407">
      <w:rPr>
        <w:rFonts w:ascii="Arial" w:hAnsi="Arial" w:cs="Arial"/>
        <w:sz w:val="16"/>
        <w:szCs w:val="16"/>
      </w:rPr>
      <w:t>to</w:t>
    </w:r>
    <w:proofErr w:type="gramEnd"/>
    <w:r w:rsidRPr="00927407">
      <w:rPr>
        <w:rFonts w:ascii="Arial" w:hAnsi="Arial" w:cs="Arial"/>
        <w:sz w:val="16"/>
        <w:szCs w:val="16"/>
      </w:rPr>
      <w:t xml:space="preserve"> ensure you have the most current version</w:t>
    </w:r>
    <w:r>
      <w:rPr>
        <w:rFonts w:ascii="Arial" w:hAnsi="Arial" w:cs="Arial"/>
        <w:sz w:val="16"/>
        <w:szCs w:val="16"/>
      </w:rPr>
      <w:t xml:space="preserve"> </w:t>
    </w:r>
    <w:r w:rsidRPr="00927407">
      <w:rPr>
        <w:rFonts w:ascii="Arial" w:hAnsi="Arial" w:cs="Arial"/>
        <w:sz w:val="16"/>
        <w:szCs w:val="16"/>
      </w:rPr>
      <w:t xml:space="preserve">of this document. </w:t>
    </w:r>
    <w:r w:rsidRPr="00927407">
      <w:rPr>
        <w:rFonts w:ascii="Arial" w:hAnsi="Arial" w:cs="Arial"/>
        <w:sz w:val="16"/>
        <w:szCs w:val="16"/>
      </w:rPr>
      <w:tab/>
      <w:t xml:space="preserve">Page </w:t>
    </w:r>
    <w:r w:rsidRPr="00CD3470">
      <w:rPr>
        <w:rFonts w:ascii="Arial" w:hAnsi="Arial" w:cs="Arial"/>
        <w:b/>
        <w:sz w:val="16"/>
        <w:szCs w:val="16"/>
      </w:rPr>
      <w:fldChar w:fldCharType="begin"/>
    </w:r>
    <w:r w:rsidRPr="00CD3470">
      <w:rPr>
        <w:rFonts w:ascii="Arial" w:hAnsi="Arial" w:cs="Arial"/>
        <w:b/>
        <w:sz w:val="16"/>
        <w:szCs w:val="16"/>
      </w:rPr>
      <w:instrText xml:space="preserve"> PAGE   \* MERGEFORMAT </w:instrText>
    </w:r>
    <w:r w:rsidRPr="00CD3470">
      <w:rPr>
        <w:rFonts w:ascii="Arial" w:hAnsi="Arial" w:cs="Arial"/>
        <w:b/>
        <w:sz w:val="16"/>
        <w:szCs w:val="16"/>
      </w:rPr>
      <w:fldChar w:fldCharType="separate"/>
    </w:r>
    <w:r>
      <w:rPr>
        <w:rFonts w:ascii="Arial" w:hAnsi="Arial" w:cs="Arial"/>
        <w:b/>
        <w:noProof/>
        <w:sz w:val="16"/>
        <w:szCs w:val="16"/>
      </w:rPr>
      <w:t>2</w:t>
    </w:r>
    <w:r w:rsidRPr="00CD3470">
      <w:rPr>
        <w:rFonts w:ascii="Arial" w:hAnsi="Arial" w:cs="Arial"/>
        <w:b/>
        <w:sz w:val="16"/>
        <w:szCs w:val="16"/>
      </w:rPr>
      <w:fldChar w:fldCharType="end"/>
    </w:r>
    <w:r w:rsidRPr="00927407">
      <w:rPr>
        <w:rFonts w:ascii="Arial" w:hAnsi="Arial" w:cs="Arial"/>
        <w:noProof/>
        <w:sz w:val="16"/>
        <w:szCs w:val="16"/>
      </w:rPr>
      <w:t xml:space="preserve"> of</w:t>
    </w:r>
    <w:r w:rsidRPr="00CD3470">
      <w:rPr>
        <w:rFonts w:ascii="Arial" w:hAnsi="Arial" w:cs="Arial"/>
        <w:b/>
        <w:noProof/>
        <w:sz w:val="16"/>
        <w:szCs w:val="16"/>
      </w:rPr>
      <w:t xml:space="preserve"> </w:t>
    </w:r>
    <w:r w:rsidRPr="00CD3470">
      <w:rPr>
        <w:b/>
      </w:rPr>
      <w:fldChar w:fldCharType="begin"/>
    </w:r>
    <w:r w:rsidRPr="00CD3470">
      <w:rPr>
        <w:b/>
      </w:rPr>
      <w:instrText xml:space="preserve"> NUMPAGES   \* MERGEFORMAT </w:instrText>
    </w:r>
    <w:r w:rsidRPr="00CD3470">
      <w:rPr>
        <w:b/>
      </w:rPr>
      <w:fldChar w:fldCharType="separate"/>
    </w:r>
    <w:r w:rsidRPr="0071657F">
      <w:rPr>
        <w:rFonts w:ascii="Arial" w:hAnsi="Arial" w:cs="Arial"/>
        <w:b/>
        <w:noProof/>
        <w:sz w:val="16"/>
        <w:szCs w:val="16"/>
      </w:rPr>
      <w:t>3</w:t>
    </w:r>
    <w:r w:rsidRPr="00CD3470">
      <w:rPr>
        <w:rFonts w:ascii="Arial" w:hAnsi="Arial"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DB5B" w14:textId="6A817B76" w:rsidR="00DE7DA7" w:rsidRDefault="0071657F" w:rsidP="002F44D2">
    <w:pPr>
      <w:pStyle w:val="ListParagraph"/>
      <w:tabs>
        <w:tab w:val="right" w:pos="10206"/>
      </w:tabs>
      <w:spacing w:after="0"/>
      <w:ind w:left="0"/>
      <w:rPr>
        <w:rFonts w:ascii="Arial" w:hAnsi="Arial" w:cs="Arial"/>
        <w:color w:val="A6A6A6"/>
        <w:sz w:val="16"/>
        <w:szCs w:val="16"/>
      </w:rPr>
    </w:pPr>
    <w:r>
      <w:rPr>
        <w:noProof/>
      </w:rPr>
      <w:drawing>
        <wp:anchor distT="0" distB="0" distL="114300" distR="114300" simplePos="0" relativeHeight="251665920" behindDoc="0" locked="0" layoutInCell="1" allowOverlap="1" wp14:anchorId="684149EE" wp14:editId="5D9E458D">
          <wp:simplePos x="0" y="0"/>
          <wp:positionH relativeFrom="margin">
            <wp:align>right</wp:align>
          </wp:positionH>
          <wp:positionV relativeFrom="paragraph">
            <wp:posOffset>-285699</wp:posOffset>
          </wp:positionV>
          <wp:extent cx="1660525" cy="694055"/>
          <wp:effectExtent l="0" t="0" r="0" b="0"/>
          <wp:wrapThrough wrapText="bothSides">
            <wp:wrapPolygon edited="0">
              <wp:start x="0" y="0"/>
              <wp:lineTo x="0" y="20750"/>
              <wp:lineTo x="21311" y="20750"/>
              <wp:lineTo x="2131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60525" cy="694055"/>
                  </a:xfrm>
                  <a:prstGeom prst="rect">
                    <a:avLst/>
                  </a:prstGeom>
                </pic:spPr>
              </pic:pic>
            </a:graphicData>
          </a:graphic>
          <wp14:sizeRelH relativeFrom="margin">
            <wp14:pctWidth>0</wp14:pctWidth>
          </wp14:sizeRelH>
          <wp14:sizeRelV relativeFrom="margin">
            <wp14:pctHeight>0</wp14:pctHeight>
          </wp14:sizeRelV>
        </wp:anchor>
      </w:drawing>
    </w:r>
    <w:r w:rsidR="002F44D2" w:rsidRPr="00927407">
      <w:rPr>
        <w:rFonts w:ascii="Arial" w:hAnsi="Arial" w:cs="Arial"/>
        <w:b/>
        <w:sz w:val="16"/>
        <w:szCs w:val="16"/>
      </w:rPr>
      <w:t xml:space="preserve">Uncontrolled copy. </w:t>
    </w:r>
    <w:r w:rsidR="002F44D2" w:rsidRPr="00927407">
      <w:rPr>
        <w:rFonts w:ascii="Arial" w:hAnsi="Arial" w:cs="Arial"/>
        <w:sz w:val="16"/>
        <w:szCs w:val="16"/>
      </w:rPr>
      <w:t>Refer to the Department of Education Policy and Procedure Register at</w:t>
    </w:r>
    <w:r>
      <w:rPr>
        <w:rFonts w:ascii="Arial" w:hAnsi="Arial" w:cs="Arial"/>
        <w:sz w:val="16"/>
        <w:szCs w:val="16"/>
      </w:rPr>
      <w:t xml:space="preserve"> </w:t>
    </w:r>
    <w:hyperlink r:id="rId2" w:history="1">
      <w:r w:rsidRPr="00221107">
        <w:rPr>
          <w:rStyle w:val="Hyperlink"/>
          <w:rFonts w:ascii="Arial" w:hAnsi="Arial" w:cs="Arial"/>
          <w:sz w:val="16"/>
          <w:szCs w:val="16"/>
        </w:rPr>
        <w:t>https://ppr.qed.qld.gov.au/pp/allocation-of-state-education-procedure</w:t>
      </w:r>
    </w:hyperlink>
    <w:r>
      <w:rPr>
        <w:rFonts w:ascii="Arial" w:hAnsi="Arial" w:cs="Arial"/>
        <w:sz w:val="16"/>
        <w:szCs w:val="16"/>
      </w:rPr>
      <w:t xml:space="preserve"> </w:t>
    </w:r>
    <w:r w:rsidR="002F44D2">
      <w:rPr>
        <w:rFonts w:ascii="Arial" w:hAnsi="Arial" w:cs="Arial"/>
        <w:color w:val="A6A6A6"/>
        <w:sz w:val="16"/>
        <w:szCs w:val="16"/>
      </w:rPr>
      <w:t xml:space="preserve"> </w:t>
    </w:r>
  </w:p>
  <w:p w14:paraId="13D1A9AE" w14:textId="2C2CBFD4" w:rsidR="00C01064" w:rsidRPr="00CD3470" w:rsidRDefault="0071657F" w:rsidP="0071657F">
    <w:pPr>
      <w:pStyle w:val="ListParagraph"/>
      <w:tabs>
        <w:tab w:val="right" w:pos="12191"/>
      </w:tabs>
      <w:spacing w:after="0"/>
      <w:ind w:left="0"/>
      <w:rPr>
        <w:sz w:val="16"/>
        <w:szCs w:val="16"/>
      </w:rPr>
    </w:pPr>
    <w:hyperlink r:id="rId3" w:history="1"/>
    <w:proofErr w:type="gramStart"/>
    <w:r w:rsidR="002F44D2" w:rsidRPr="00927407">
      <w:rPr>
        <w:rFonts w:ascii="Arial" w:hAnsi="Arial" w:cs="Arial"/>
        <w:sz w:val="16"/>
        <w:szCs w:val="16"/>
      </w:rPr>
      <w:t>to</w:t>
    </w:r>
    <w:proofErr w:type="gramEnd"/>
    <w:r w:rsidR="002F44D2" w:rsidRPr="00927407">
      <w:rPr>
        <w:rFonts w:ascii="Arial" w:hAnsi="Arial" w:cs="Arial"/>
        <w:sz w:val="16"/>
        <w:szCs w:val="16"/>
      </w:rPr>
      <w:t xml:space="preserve"> ensure you have the most current version</w:t>
    </w:r>
    <w:r w:rsidR="00DE7DA7">
      <w:rPr>
        <w:rFonts w:ascii="Arial" w:hAnsi="Arial" w:cs="Arial"/>
        <w:sz w:val="16"/>
        <w:szCs w:val="16"/>
      </w:rPr>
      <w:t xml:space="preserve"> </w:t>
    </w:r>
    <w:r w:rsidR="002F44D2" w:rsidRPr="00927407">
      <w:rPr>
        <w:rFonts w:ascii="Arial" w:hAnsi="Arial" w:cs="Arial"/>
        <w:sz w:val="16"/>
        <w:szCs w:val="16"/>
      </w:rPr>
      <w:t xml:space="preserve">of this document. </w:t>
    </w:r>
    <w:r w:rsidR="002F44D2" w:rsidRPr="00927407">
      <w:rPr>
        <w:rFonts w:ascii="Arial" w:hAnsi="Arial" w:cs="Arial"/>
        <w:sz w:val="16"/>
        <w:szCs w:val="16"/>
      </w:rPr>
      <w:tab/>
      <w:t xml:space="preserve">Page </w:t>
    </w:r>
    <w:r w:rsidR="002F44D2" w:rsidRPr="00CD3470">
      <w:rPr>
        <w:rFonts w:ascii="Arial" w:hAnsi="Arial" w:cs="Arial"/>
        <w:b/>
        <w:sz w:val="16"/>
        <w:szCs w:val="16"/>
      </w:rPr>
      <w:fldChar w:fldCharType="begin"/>
    </w:r>
    <w:r w:rsidR="002F44D2" w:rsidRPr="00CD3470">
      <w:rPr>
        <w:rFonts w:ascii="Arial" w:hAnsi="Arial" w:cs="Arial"/>
        <w:b/>
        <w:sz w:val="16"/>
        <w:szCs w:val="16"/>
      </w:rPr>
      <w:instrText xml:space="preserve"> PAGE   \* MERGEFORMAT </w:instrText>
    </w:r>
    <w:r w:rsidR="002F44D2" w:rsidRPr="00CD3470">
      <w:rPr>
        <w:rFonts w:ascii="Arial" w:hAnsi="Arial" w:cs="Arial"/>
        <w:b/>
        <w:sz w:val="16"/>
        <w:szCs w:val="16"/>
      </w:rPr>
      <w:fldChar w:fldCharType="separate"/>
    </w:r>
    <w:r>
      <w:rPr>
        <w:rFonts w:ascii="Arial" w:hAnsi="Arial" w:cs="Arial"/>
        <w:b/>
        <w:noProof/>
        <w:sz w:val="16"/>
        <w:szCs w:val="16"/>
      </w:rPr>
      <w:t>1</w:t>
    </w:r>
    <w:r w:rsidR="002F44D2" w:rsidRPr="00CD3470">
      <w:rPr>
        <w:rFonts w:ascii="Arial" w:hAnsi="Arial" w:cs="Arial"/>
        <w:b/>
        <w:sz w:val="16"/>
        <w:szCs w:val="16"/>
      </w:rPr>
      <w:fldChar w:fldCharType="end"/>
    </w:r>
    <w:r w:rsidR="002F44D2" w:rsidRPr="00927407">
      <w:rPr>
        <w:rFonts w:ascii="Arial" w:hAnsi="Arial" w:cs="Arial"/>
        <w:noProof/>
        <w:sz w:val="16"/>
        <w:szCs w:val="16"/>
      </w:rPr>
      <w:t xml:space="preserve"> of</w:t>
    </w:r>
    <w:r w:rsidR="002F44D2" w:rsidRPr="00CD3470">
      <w:rPr>
        <w:rFonts w:ascii="Arial" w:hAnsi="Arial" w:cs="Arial"/>
        <w:b/>
        <w:noProof/>
        <w:sz w:val="16"/>
        <w:szCs w:val="16"/>
      </w:rPr>
      <w:t xml:space="preserve"> </w:t>
    </w:r>
    <w:r w:rsidR="00AE7736" w:rsidRPr="00CD3470">
      <w:rPr>
        <w:b/>
      </w:rPr>
      <w:fldChar w:fldCharType="begin"/>
    </w:r>
    <w:r w:rsidR="00AE7736" w:rsidRPr="00CD3470">
      <w:rPr>
        <w:b/>
      </w:rPr>
      <w:instrText xml:space="preserve"> NUMPAGES   \* MERGEFORMAT </w:instrText>
    </w:r>
    <w:r w:rsidR="00AE7736" w:rsidRPr="00CD3470">
      <w:rPr>
        <w:b/>
      </w:rPr>
      <w:fldChar w:fldCharType="separate"/>
    </w:r>
    <w:r w:rsidRPr="0071657F">
      <w:rPr>
        <w:rFonts w:ascii="Arial" w:hAnsi="Arial" w:cs="Arial"/>
        <w:b/>
        <w:noProof/>
        <w:sz w:val="16"/>
        <w:szCs w:val="16"/>
      </w:rPr>
      <w:t>3</w:t>
    </w:r>
    <w:r w:rsidR="00AE7736" w:rsidRPr="00CD3470">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1C84" w14:textId="77777777" w:rsidR="005C66B0" w:rsidRDefault="005C66B0">
      <w:r>
        <w:separator/>
      </w:r>
    </w:p>
  </w:footnote>
  <w:footnote w:type="continuationSeparator" w:id="0">
    <w:p w14:paraId="407DD7E6" w14:textId="77777777" w:rsidR="005C66B0" w:rsidRDefault="005C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7D0AE" w14:textId="450BEBBA" w:rsidR="0071657F" w:rsidRDefault="0071657F">
    <w:pPr>
      <w:pStyle w:val="Header"/>
    </w:pPr>
    <w:r>
      <w:rPr>
        <w:noProof/>
        <w:lang w:eastAsia="zh-CN"/>
      </w:rPr>
      <w:drawing>
        <wp:anchor distT="0" distB="0" distL="114300" distR="114300" simplePos="0" relativeHeight="251672064" behindDoc="1" locked="1" layoutInCell="1" allowOverlap="1" wp14:anchorId="755F2059" wp14:editId="32D85D7F">
          <wp:simplePos x="0" y="0"/>
          <wp:positionH relativeFrom="page">
            <wp:posOffset>43815</wp:posOffset>
          </wp:positionH>
          <wp:positionV relativeFrom="page">
            <wp:posOffset>94615</wp:posOffset>
          </wp:positionV>
          <wp:extent cx="10510520" cy="888365"/>
          <wp:effectExtent l="0" t="0" r="5080" b="698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94016"/>
                  <a:stretch/>
                </pic:blipFill>
                <pic:spPr bwMode="auto">
                  <a:xfrm>
                    <a:off x="0" y="0"/>
                    <a:ext cx="10510520" cy="888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7429" w14:textId="5A80FD9B" w:rsidR="0071657F" w:rsidRDefault="0071657F">
    <w:pPr>
      <w:pStyle w:val="Header"/>
    </w:pPr>
    <w:r>
      <w:rPr>
        <w:noProof/>
        <w:lang w:eastAsia="zh-CN"/>
      </w:rPr>
      <w:drawing>
        <wp:anchor distT="0" distB="0" distL="114300" distR="114300" simplePos="0" relativeHeight="251670016" behindDoc="1" locked="1" layoutInCell="1" allowOverlap="1" wp14:anchorId="218E125B" wp14:editId="16747676">
          <wp:simplePos x="0" y="0"/>
          <wp:positionH relativeFrom="page">
            <wp:posOffset>119380</wp:posOffset>
          </wp:positionH>
          <wp:positionV relativeFrom="page">
            <wp:posOffset>0</wp:posOffset>
          </wp:positionV>
          <wp:extent cx="10510520" cy="888365"/>
          <wp:effectExtent l="0" t="0" r="5080" b="698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94016"/>
                  <a:stretch/>
                </pic:blipFill>
                <pic:spPr bwMode="auto">
                  <a:xfrm>
                    <a:off x="0" y="0"/>
                    <a:ext cx="10510520" cy="888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798D"/>
    <w:multiLevelType w:val="hybridMultilevel"/>
    <w:tmpl w:val="F79A7762"/>
    <w:lvl w:ilvl="0" w:tplc="0C090001">
      <w:start w:val="1"/>
      <w:numFmt w:val="bullet"/>
      <w:lvlText w:val=""/>
      <w:lvlJc w:val="left"/>
      <w:pPr>
        <w:tabs>
          <w:tab w:val="num" w:pos="1134"/>
        </w:tabs>
        <w:ind w:left="1134" w:hanging="360"/>
      </w:pPr>
      <w:rPr>
        <w:rFonts w:ascii="Symbol" w:hAnsi="Symbol" w:hint="default"/>
      </w:rPr>
    </w:lvl>
    <w:lvl w:ilvl="1" w:tplc="0C09000F">
      <w:start w:val="1"/>
      <w:numFmt w:val="decimal"/>
      <w:lvlText w:val="%2."/>
      <w:lvlJc w:val="left"/>
      <w:pPr>
        <w:tabs>
          <w:tab w:val="num" w:pos="1842"/>
        </w:tabs>
        <w:ind w:left="1842" w:hanging="360"/>
      </w:pPr>
      <w:rPr>
        <w:rFonts w:cs="Times New Roman" w:hint="default"/>
      </w:rPr>
    </w:lvl>
    <w:lvl w:ilvl="2" w:tplc="0C09001B" w:tentative="1">
      <w:start w:val="1"/>
      <w:numFmt w:val="lowerRoman"/>
      <w:lvlText w:val="%3."/>
      <w:lvlJc w:val="right"/>
      <w:pPr>
        <w:tabs>
          <w:tab w:val="num" w:pos="2562"/>
        </w:tabs>
        <w:ind w:left="2562" w:hanging="180"/>
      </w:pPr>
      <w:rPr>
        <w:rFonts w:cs="Times New Roman"/>
      </w:rPr>
    </w:lvl>
    <w:lvl w:ilvl="3" w:tplc="0C09000F" w:tentative="1">
      <w:start w:val="1"/>
      <w:numFmt w:val="decimal"/>
      <w:lvlText w:val="%4."/>
      <w:lvlJc w:val="left"/>
      <w:pPr>
        <w:tabs>
          <w:tab w:val="num" w:pos="3282"/>
        </w:tabs>
        <w:ind w:left="3282" w:hanging="360"/>
      </w:pPr>
      <w:rPr>
        <w:rFonts w:cs="Times New Roman"/>
      </w:rPr>
    </w:lvl>
    <w:lvl w:ilvl="4" w:tplc="0C090019" w:tentative="1">
      <w:start w:val="1"/>
      <w:numFmt w:val="lowerLetter"/>
      <w:lvlText w:val="%5."/>
      <w:lvlJc w:val="left"/>
      <w:pPr>
        <w:tabs>
          <w:tab w:val="num" w:pos="4002"/>
        </w:tabs>
        <w:ind w:left="4002" w:hanging="360"/>
      </w:pPr>
      <w:rPr>
        <w:rFonts w:cs="Times New Roman"/>
      </w:rPr>
    </w:lvl>
    <w:lvl w:ilvl="5" w:tplc="0C09001B" w:tentative="1">
      <w:start w:val="1"/>
      <w:numFmt w:val="lowerRoman"/>
      <w:lvlText w:val="%6."/>
      <w:lvlJc w:val="right"/>
      <w:pPr>
        <w:tabs>
          <w:tab w:val="num" w:pos="4722"/>
        </w:tabs>
        <w:ind w:left="4722" w:hanging="180"/>
      </w:pPr>
      <w:rPr>
        <w:rFonts w:cs="Times New Roman"/>
      </w:rPr>
    </w:lvl>
    <w:lvl w:ilvl="6" w:tplc="0C09000F" w:tentative="1">
      <w:start w:val="1"/>
      <w:numFmt w:val="decimal"/>
      <w:lvlText w:val="%7."/>
      <w:lvlJc w:val="left"/>
      <w:pPr>
        <w:tabs>
          <w:tab w:val="num" w:pos="5442"/>
        </w:tabs>
        <w:ind w:left="5442" w:hanging="360"/>
      </w:pPr>
      <w:rPr>
        <w:rFonts w:cs="Times New Roman"/>
      </w:rPr>
    </w:lvl>
    <w:lvl w:ilvl="7" w:tplc="0C090019" w:tentative="1">
      <w:start w:val="1"/>
      <w:numFmt w:val="lowerLetter"/>
      <w:lvlText w:val="%8."/>
      <w:lvlJc w:val="left"/>
      <w:pPr>
        <w:tabs>
          <w:tab w:val="num" w:pos="6162"/>
        </w:tabs>
        <w:ind w:left="6162" w:hanging="360"/>
      </w:pPr>
      <w:rPr>
        <w:rFonts w:cs="Times New Roman"/>
      </w:rPr>
    </w:lvl>
    <w:lvl w:ilvl="8" w:tplc="0C09001B" w:tentative="1">
      <w:start w:val="1"/>
      <w:numFmt w:val="lowerRoman"/>
      <w:lvlText w:val="%9."/>
      <w:lvlJc w:val="right"/>
      <w:pPr>
        <w:tabs>
          <w:tab w:val="num" w:pos="6882"/>
        </w:tabs>
        <w:ind w:left="6882" w:hanging="180"/>
      </w:pPr>
      <w:rPr>
        <w:rFonts w:cs="Times New Roman"/>
      </w:rPr>
    </w:lvl>
  </w:abstractNum>
  <w:abstractNum w:abstractNumId="1" w15:restartNumberingAfterBreak="0">
    <w:nsid w:val="35E54F9F"/>
    <w:multiLevelType w:val="hybridMultilevel"/>
    <w:tmpl w:val="B500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F85EC7"/>
    <w:multiLevelType w:val="hybridMultilevel"/>
    <w:tmpl w:val="788CEF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EF"/>
    <w:rsid w:val="0000599A"/>
    <w:rsid w:val="00036ACD"/>
    <w:rsid w:val="00066BDA"/>
    <w:rsid w:val="000D1927"/>
    <w:rsid w:val="001F16CF"/>
    <w:rsid w:val="002F44D2"/>
    <w:rsid w:val="003124D0"/>
    <w:rsid w:val="003B6C57"/>
    <w:rsid w:val="003F473C"/>
    <w:rsid w:val="0040504B"/>
    <w:rsid w:val="00413A38"/>
    <w:rsid w:val="00445F97"/>
    <w:rsid w:val="00476883"/>
    <w:rsid w:val="004867FB"/>
    <w:rsid w:val="005061DE"/>
    <w:rsid w:val="00515700"/>
    <w:rsid w:val="00532211"/>
    <w:rsid w:val="005430AD"/>
    <w:rsid w:val="00581637"/>
    <w:rsid w:val="005C1CA5"/>
    <w:rsid w:val="005C66B0"/>
    <w:rsid w:val="005D2CEF"/>
    <w:rsid w:val="005E3EF4"/>
    <w:rsid w:val="00600BC9"/>
    <w:rsid w:val="007025CA"/>
    <w:rsid w:val="00705FA6"/>
    <w:rsid w:val="0071657F"/>
    <w:rsid w:val="00784286"/>
    <w:rsid w:val="007B3227"/>
    <w:rsid w:val="00810641"/>
    <w:rsid w:val="00812AA2"/>
    <w:rsid w:val="00831C6E"/>
    <w:rsid w:val="00930005"/>
    <w:rsid w:val="00965996"/>
    <w:rsid w:val="009B3A21"/>
    <w:rsid w:val="00A05FDF"/>
    <w:rsid w:val="00A91927"/>
    <w:rsid w:val="00AE7736"/>
    <w:rsid w:val="00AF5047"/>
    <w:rsid w:val="00B4561E"/>
    <w:rsid w:val="00B5171D"/>
    <w:rsid w:val="00B56B90"/>
    <w:rsid w:val="00BC2520"/>
    <w:rsid w:val="00BC41EF"/>
    <w:rsid w:val="00C01064"/>
    <w:rsid w:val="00C82BA0"/>
    <w:rsid w:val="00C85397"/>
    <w:rsid w:val="00CD3470"/>
    <w:rsid w:val="00D3328F"/>
    <w:rsid w:val="00D50211"/>
    <w:rsid w:val="00D5273B"/>
    <w:rsid w:val="00D6535D"/>
    <w:rsid w:val="00D74332"/>
    <w:rsid w:val="00DB36FF"/>
    <w:rsid w:val="00DD40C5"/>
    <w:rsid w:val="00DD423E"/>
    <w:rsid w:val="00DE0B2A"/>
    <w:rsid w:val="00DE4BBC"/>
    <w:rsid w:val="00DE7DA7"/>
    <w:rsid w:val="00E8712E"/>
    <w:rsid w:val="00EC32AB"/>
    <w:rsid w:val="00F52907"/>
    <w:rsid w:val="00F63B12"/>
    <w:rsid w:val="00F70EE8"/>
    <w:rsid w:val="00FA1AF5"/>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1B8DD38"/>
  <w14:defaultImageDpi w14:val="300"/>
  <w15:docId w15:val="{E7E700A9-9AA7-48A8-9DBE-1AD8A10E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AU"/>
    </w:rPr>
  </w:style>
  <w:style w:type="paragraph" w:styleId="Heading2">
    <w:name w:val="heading 2"/>
    <w:basedOn w:val="Normal"/>
    <w:next w:val="Normal"/>
    <w:qFormat/>
    <w:rsid w:val="003C51FA"/>
    <w:pPr>
      <w:keepNext/>
      <w:spacing w:before="360" w:after="160" w:line="360" w:lineRule="exact"/>
      <w:outlineLvl w:val="1"/>
    </w:pPr>
    <w:rPr>
      <w:rFonts w:ascii="Arial" w:eastAsia="Times" w:hAnsi="Arial"/>
      <w:sz w:val="28"/>
      <w:szCs w:val="20"/>
    </w:rPr>
  </w:style>
  <w:style w:type="paragraph" w:styleId="Heading3">
    <w:name w:val="heading 3"/>
    <w:basedOn w:val="Normal"/>
    <w:next w:val="Normal"/>
    <w:qFormat/>
    <w:rsid w:val="003C51FA"/>
    <w:pPr>
      <w:keepNext/>
      <w:suppressAutoHyphens/>
      <w:spacing w:before="200" w:after="60" w:line="360" w:lineRule="exact"/>
      <w:outlineLvl w:val="2"/>
    </w:pPr>
    <w:rPr>
      <w:rFonts w:ascii="Arial" w:eastAsia="Times"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C51FA"/>
    <w:pPr>
      <w:suppressAutoHyphens/>
      <w:spacing w:after="280" w:line="300" w:lineRule="exact"/>
      <w:ind w:right="45"/>
    </w:pPr>
    <w:rPr>
      <w:rFonts w:ascii="Arial" w:eastAsia="Times" w:hAnsi="Arial"/>
      <w:sz w:val="20"/>
      <w:szCs w:val="20"/>
    </w:rPr>
  </w:style>
  <w:style w:type="paragraph" w:styleId="Header">
    <w:name w:val="header"/>
    <w:basedOn w:val="Normal"/>
    <w:rsid w:val="00DA6519"/>
    <w:pPr>
      <w:tabs>
        <w:tab w:val="center" w:pos="4153"/>
        <w:tab w:val="right" w:pos="8306"/>
      </w:tabs>
    </w:pPr>
  </w:style>
  <w:style w:type="paragraph" w:styleId="Footer">
    <w:name w:val="footer"/>
    <w:basedOn w:val="Normal"/>
    <w:rsid w:val="00DA6519"/>
    <w:pPr>
      <w:tabs>
        <w:tab w:val="center" w:pos="4153"/>
        <w:tab w:val="right" w:pos="8306"/>
      </w:tabs>
    </w:pPr>
  </w:style>
  <w:style w:type="paragraph" w:styleId="NormalWeb">
    <w:name w:val="Normal (Web)"/>
    <w:basedOn w:val="Normal"/>
    <w:uiPriority w:val="99"/>
    <w:rsid w:val="002F44D2"/>
    <w:pPr>
      <w:spacing w:before="100" w:beforeAutospacing="1" w:after="100" w:afterAutospacing="1"/>
    </w:pPr>
    <w:rPr>
      <w:rFonts w:ascii="Arial" w:hAnsi="Arial"/>
      <w:lang w:eastAsia="en-US"/>
    </w:rPr>
  </w:style>
  <w:style w:type="character" w:styleId="CommentReference">
    <w:name w:val="annotation reference"/>
    <w:basedOn w:val="DefaultParagraphFont"/>
    <w:uiPriority w:val="99"/>
    <w:unhideWhenUsed/>
    <w:rsid w:val="002F44D2"/>
    <w:rPr>
      <w:sz w:val="16"/>
      <w:szCs w:val="16"/>
    </w:rPr>
  </w:style>
  <w:style w:type="paragraph" w:styleId="CommentText">
    <w:name w:val="annotation text"/>
    <w:basedOn w:val="Normal"/>
    <w:link w:val="CommentTextChar"/>
    <w:uiPriority w:val="99"/>
    <w:unhideWhenUsed/>
    <w:rsid w:val="002F44D2"/>
    <w:rPr>
      <w:rFonts w:ascii="Arial" w:hAnsi="Arial"/>
      <w:sz w:val="20"/>
      <w:szCs w:val="20"/>
    </w:rPr>
  </w:style>
  <w:style w:type="character" w:customStyle="1" w:styleId="CommentTextChar">
    <w:name w:val="Comment Text Char"/>
    <w:basedOn w:val="DefaultParagraphFont"/>
    <w:link w:val="CommentText"/>
    <w:uiPriority w:val="99"/>
    <w:rsid w:val="002F44D2"/>
    <w:rPr>
      <w:rFonts w:ascii="Arial" w:hAnsi="Arial"/>
      <w:lang w:eastAsia="en-AU"/>
    </w:rPr>
  </w:style>
  <w:style w:type="paragraph" w:styleId="BalloonText">
    <w:name w:val="Balloon Text"/>
    <w:basedOn w:val="Normal"/>
    <w:link w:val="BalloonTextChar"/>
    <w:rsid w:val="002F44D2"/>
    <w:rPr>
      <w:rFonts w:ascii="Tahoma" w:hAnsi="Tahoma" w:cs="Tahoma"/>
      <w:sz w:val="16"/>
      <w:szCs w:val="16"/>
    </w:rPr>
  </w:style>
  <w:style w:type="character" w:customStyle="1" w:styleId="BalloonTextChar">
    <w:name w:val="Balloon Text Char"/>
    <w:basedOn w:val="DefaultParagraphFont"/>
    <w:link w:val="BalloonText"/>
    <w:rsid w:val="002F44D2"/>
    <w:rPr>
      <w:rFonts w:ascii="Tahoma" w:hAnsi="Tahoma" w:cs="Tahoma"/>
      <w:sz w:val="16"/>
      <w:szCs w:val="16"/>
      <w:lang w:eastAsia="en-AU"/>
    </w:rPr>
  </w:style>
  <w:style w:type="paragraph" w:styleId="ListParagraph">
    <w:name w:val="List Paragraph"/>
    <w:basedOn w:val="Normal"/>
    <w:uiPriority w:val="99"/>
    <w:qFormat/>
    <w:rsid w:val="002F44D2"/>
    <w:pPr>
      <w:spacing w:after="200" w:line="276" w:lineRule="auto"/>
      <w:ind w:left="720"/>
    </w:pPr>
    <w:rPr>
      <w:rFonts w:ascii="Calibri" w:eastAsia="SimSun" w:hAnsi="Calibri"/>
      <w:sz w:val="22"/>
      <w:szCs w:val="22"/>
      <w:lang w:eastAsia="zh-CN"/>
    </w:rPr>
  </w:style>
  <w:style w:type="character" w:styleId="Hyperlink">
    <w:name w:val="Hyperlink"/>
    <w:uiPriority w:val="99"/>
    <w:rsid w:val="002F44D2"/>
    <w:rPr>
      <w:rFonts w:cs="Times New Roman"/>
      <w:color w:val="0000FF"/>
      <w:u w:val="single"/>
    </w:rPr>
  </w:style>
  <w:style w:type="paragraph" w:styleId="CommentSubject">
    <w:name w:val="annotation subject"/>
    <w:basedOn w:val="CommentText"/>
    <w:next w:val="CommentText"/>
    <w:link w:val="CommentSubjectChar"/>
    <w:semiHidden/>
    <w:unhideWhenUsed/>
    <w:rsid w:val="007025CA"/>
    <w:rPr>
      <w:rFonts w:ascii="Times New Roman" w:hAnsi="Times New Roman"/>
      <w:b/>
      <w:bCs/>
    </w:rPr>
  </w:style>
  <w:style w:type="character" w:customStyle="1" w:styleId="CommentSubjectChar">
    <w:name w:val="Comment Subject Char"/>
    <w:basedOn w:val="CommentTextChar"/>
    <w:link w:val="CommentSubject"/>
    <w:semiHidden/>
    <w:rsid w:val="007025CA"/>
    <w:rPr>
      <w:rFonts w:ascii="Arial" w:hAnsi="Arial"/>
      <w:b/>
      <w:bCs/>
      <w:lang w:eastAsia="en-AU"/>
    </w:rPr>
  </w:style>
  <w:style w:type="character" w:styleId="FollowedHyperlink">
    <w:name w:val="FollowedHyperlink"/>
    <w:basedOn w:val="DefaultParagraphFont"/>
    <w:semiHidden/>
    <w:unhideWhenUsed/>
    <w:rsid w:val="00AE7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pp/mature-age-student-applications-procedur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mpe.qed.qld.gov.au/attachment/information-for-students-parents-reviews-against-decisions-on-allocation-of-semesters-of-state-education.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p/allocation-of-state-education-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student-transfer-note.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ppr.mpe.qed.qld.gov.au/procedure-enrolment-in-state-primary-secondary-and-special-schools" TargetMode="External"/><Relationship Id="rId2" Type="http://schemas.openxmlformats.org/officeDocument/2006/relationships/hyperlink" Target="https://ppr.mpe.qed.qld.gov.au/pp/allocation-of-state-education-procedur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ppr.mpe.qed.qld.gov.au/procedure-enrolment-in-state-primary-secondary-and-special-schools" TargetMode="External"/><Relationship Id="rId2" Type="http://schemas.openxmlformats.org/officeDocument/2006/relationships/hyperlink" Target="https://ppr.mpe.qed.qld.gov.au/pp/allocation-of-state-education-procedur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20/702663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2022-02-17T01:24:37+00:00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Guidelines for the allocation of state education</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2022-02-17T03:28:59+00:00</PPLastReviewedDate>
    <PPContentAuthor xmlns="16795be8-4374-4e44-895d-be6cdbab3e2c">
      <UserInfo>
        <DisplayName/>
        <AccountId xsi:nil="true"/>
        <AccountType/>
      </UserInfo>
    </PPContentAuthor>
    <PPModeratedDate xmlns="16795be8-4374-4e44-895d-be6cdbab3e2c">2022-02-17T03:28:59+00:00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2021-01-29T02:24:47+00:00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entitlement; additional semesters; basic allocation; remaining allocation; repeating a year level; extra semesters; expended 26 semesters;</PPRKeywords>
    <PPRPublishedDate xmlns="http://schemas.microsoft.com/sharepoint/v3" xsi:nil="true"/>
    <PPRStatus xmlns="http://schemas.microsoft.com/sharepoint/v3" xsi:nil="true"/>
    <PPRRisknumber xmlns="http://schemas.microsoft.com/sharepoint/v3" xsi:nil="true"/>
    <PPRAttachmentParent xmlns="http://schemas.microsoft.com/sharepoint/v3">20/702514</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2ACC4-3CC6-448D-A728-EE6ED4B026B2}"/>
</file>

<file path=customXml/itemProps2.xml><?xml version="1.0" encoding="utf-8"?>
<ds:datastoreItem xmlns:ds="http://schemas.openxmlformats.org/officeDocument/2006/customXml" ds:itemID="{A79141BE-63D6-4AAE-80E7-363165BE9E91}"/>
</file>

<file path=customXml/itemProps3.xml><?xml version="1.0" encoding="utf-8"?>
<ds:datastoreItem xmlns:ds="http://schemas.openxmlformats.org/officeDocument/2006/customXml" ds:itemID="{A9F3CBFF-4FA5-431D-98BE-BD7E2478BA7C}"/>
</file>

<file path=customXml/itemProps4.xml><?xml version="1.0" encoding="utf-8"?>
<ds:datastoreItem xmlns:ds="http://schemas.openxmlformats.org/officeDocument/2006/customXml" ds:itemID="{857F7523-4111-4A65-8ABF-5E6511F0DB3B}"/>
</file>

<file path=docProps/app.xml><?xml version="1.0" encoding="utf-8"?>
<Properties xmlns="http://schemas.openxmlformats.org/officeDocument/2006/extended-properties" xmlns:vt="http://schemas.openxmlformats.org/officeDocument/2006/docPropsVTypes">
  <Template>Normal.dotm</Template>
  <TotalTime>9</TotalTime>
  <Pages>3</Pages>
  <Words>1224</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DET A4 generic header landscape template</vt:lpstr>
    </vt:vector>
  </TitlesOfParts>
  <Company>Education Queensland</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allocation of state education</dc:title>
  <dc:creator>John Pennisi</dc:creator>
  <cp:keywords>DET; A4; generic; header; landscape; template;</cp:keywords>
  <cp:lastModifiedBy>WANT, Deb</cp:lastModifiedBy>
  <cp:revision>4</cp:revision>
  <dcterms:created xsi:type="dcterms:W3CDTF">2021-01-29T01:15:00Z</dcterms:created>
  <dcterms:modified xsi:type="dcterms:W3CDTF">2021-01-29T02:24:00Z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0x0101002CD7558897FC4235A682984CA042D72E0080A487CF4296A94BBAFF531C206947CC</vt:lpwstr>
  </property>
  <property fmtid="{D5CDD505-2E9C-101B-9397-08002B2CF9AE}" pid="4" name="Order">
    <vt:r8>21100</vt:r8>
  </property>
</Properties>
</file>