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ACE2" w14:textId="69F2C59A" w:rsidR="004E7D72" w:rsidRDefault="0002400B" w:rsidP="0002400B">
      <w:pPr>
        <w:pStyle w:val="Title"/>
        <w:tabs>
          <w:tab w:val="left" w:pos="11460"/>
        </w:tabs>
        <w:spacing w:before="240" w:after="120"/>
        <w:rPr>
          <w:rFonts w:cs="Arial"/>
          <w:color w:val="002E5D"/>
          <w:sz w:val="44"/>
        </w:rPr>
      </w:pPr>
      <w:r>
        <w:rPr>
          <w:rFonts w:cs="Arial"/>
          <w:color w:val="002E5D"/>
          <w:sz w:val="44"/>
        </w:rPr>
        <w:tab/>
      </w:r>
    </w:p>
    <w:p w14:paraId="76E4458C" w14:textId="03D7B4B0" w:rsidR="00E719C0" w:rsidRPr="0062038F" w:rsidRDefault="00E719C0" w:rsidP="0062038F">
      <w:pPr>
        <w:pStyle w:val="Title"/>
        <w:spacing w:before="240" w:after="240"/>
        <w:rPr>
          <w:sz w:val="44"/>
          <w:szCs w:val="52"/>
        </w:rPr>
      </w:pPr>
      <w:r w:rsidRPr="0062038F">
        <w:rPr>
          <w:sz w:val="44"/>
          <w:szCs w:val="52"/>
        </w:rPr>
        <w:t xml:space="preserve">Human </w:t>
      </w:r>
      <w:r w:rsidR="00AC1E61" w:rsidRPr="0062038F">
        <w:rPr>
          <w:sz w:val="44"/>
          <w:szCs w:val="52"/>
        </w:rPr>
        <w:t>r</w:t>
      </w:r>
      <w:r w:rsidRPr="0062038F">
        <w:rPr>
          <w:sz w:val="44"/>
          <w:szCs w:val="52"/>
        </w:rPr>
        <w:t xml:space="preserve">ights </w:t>
      </w:r>
      <w:r w:rsidR="00D348BE" w:rsidRPr="0062038F">
        <w:rPr>
          <w:sz w:val="44"/>
          <w:szCs w:val="52"/>
        </w:rPr>
        <w:t xml:space="preserve">impact </w:t>
      </w:r>
      <w:r w:rsidRPr="0062038F">
        <w:rPr>
          <w:sz w:val="44"/>
          <w:szCs w:val="52"/>
        </w:rPr>
        <w:t xml:space="preserve">assessment: </w:t>
      </w:r>
      <w:r w:rsidR="00B82227">
        <w:rPr>
          <w:sz w:val="44"/>
          <w:szCs w:val="52"/>
        </w:rPr>
        <w:t>exemptions from compulsory schooling and compulsory participation</w:t>
      </w:r>
    </w:p>
    <w:p w14:paraId="5475F22E" w14:textId="77777777" w:rsidR="00B82227" w:rsidRPr="00B82227" w:rsidRDefault="00B82227" w:rsidP="00B82227">
      <w:pPr>
        <w:spacing w:after="120" w:line="240" w:lineRule="auto"/>
        <w:rPr>
          <w:rFonts w:ascii="Arial" w:eastAsia="Calibri" w:hAnsi="Arial" w:cs="Times New Roman"/>
          <w:szCs w:val="24"/>
          <w:lang w:eastAsia="en-US"/>
        </w:rPr>
      </w:pPr>
      <w:r w:rsidRPr="00B82227">
        <w:rPr>
          <w:rFonts w:ascii="Arial" w:eastAsia="Calibri" w:hAnsi="Arial" w:cs="Times New Roman"/>
          <w:szCs w:val="24"/>
          <w:lang w:eastAsia="en-US"/>
        </w:rPr>
        <w:t xml:space="preserve">Use this exemplar to determine if your decision is compatible with human rights under the </w:t>
      </w:r>
      <w:r w:rsidRPr="00B82227">
        <w:rPr>
          <w:rFonts w:ascii="Arial" w:eastAsia="Calibri" w:hAnsi="Arial" w:cs="Times New Roman"/>
          <w:i/>
          <w:szCs w:val="24"/>
          <w:lang w:eastAsia="en-US"/>
        </w:rPr>
        <w:t>Human Rights Act 2019</w:t>
      </w:r>
      <w:r w:rsidRPr="00B82227">
        <w:rPr>
          <w:rFonts w:ascii="Arial" w:eastAsia="Calibri" w:hAnsi="Arial" w:cs="Times New Roman"/>
          <w:szCs w:val="24"/>
          <w:lang w:eastAsia="en-US"/>
        </w:rPr>
        <w:t>.</w:t>
      </w:r>
      <w:r w:rsidRPr="00B82227">
        <w:rPr>
          <w:rFonts w:ascii="Arial" w:eastAsia="Calibri" w:hAnsi="Arial" w:cs="Arial"/>
          <w:color w:val="000000"/>
          <w:szCs w:val="24"/>
          <w:lang w:eastAsia="en-US"/>
        </w:rPr>
        <w:t xml:space="preserve"> </w:t>
      </w:r>
      <w:r w:rsidRPr="00B82227">
        <w:rPr>
          <w:rFonts w:ascii="Arial" w:eastAsia="Calibri" w:hAnsi="Arial" w:cs="Times New Roman"/>
          <w:szCs w:val="24"/>
          <w:lang w:eastAsia="en-US"/>
        </w:rPr>
        <w:t xml:space="preserve">In this example of an impact assessment, </w:t>
      </w:r>
      <w:r w:rsidRPr="00B82227">
        <w:rPr>
          <w:rFonts w:ascii="Arial" w:eastAsia="Calibri" w:hAnsi="Arial" w:cs="Times New Roman"/>
          <w:color w:val="FF0000"/>
          <w:szCs w:val="24"/>
          <w:lang w:eastAsia="en-US"/>
        </w:rPr>
        <w:t xml:space="preserve">red text </w:t>
      </w:r>
      <w:r w:rsidRPr="00B82227">
        <w:rPr>
          <w:rFonts w:ascii="Arial" w:eastAsia="Calibri" w:hAnsi="Arial" w:cs="Times New Roman"/>
          <w:szCs w:val="24"/>
          <w:lang w:eastAsia="en-US"/>
        </w:rPr>
        <w:t>indicates where text can be inserted or chosen.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3305"/>
        <w:gridCol w:w="1656"/>
        <w:gridCol w:w="4954"/>
      </w:tblGrid>
      <w:tr w:rsidR="001B7716" w:rsidRPr="00BD3C7E" w14:paraId="0A007127" w14:textId="77777777" w:rsidTr="00AC1E61">
        <w:tc>
          <w:tcPr>
            <w:tcW w:w="5387" w:type="dxa"/>
            <w:tcBorders>
              <w:bottom w:val="single" w:sz="4" w:space="0" w:color="FFFFFF" w:themeColor="background1"/>
            </w:tcBorders>
            <w:shd w:val="clear" w:color="auto" w:fill="4F758B"/>
          </w:tcPr>
          <w:p w14:paraId="59D23638" w14:textId="6DC11F55" w:rsidR="001B7716" w:rsidRPr="00BD3C7E" w:rsidRDefault="00AC1E61" w:rsidP="002228AA">
            <w:pPr>
              <w:spacing w:line="260" w:lineRule="exac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Decision</w:t>
            </w:r>
          </w:p>
        </w:tc>
        <w:tc>
          <w:tcPr>
            <w:tcW w:w="9915" w:type="dxa"/>
            <w:gridSpan w:val="3"/>
            <w:tcBorders>
              <w:top w:val="single" w:sz="4" w:space="0" w:color="4F758B"/>
              <w:bottom w:val="single" w:sz="4" w:space="0" w:color="4F758B"/>
            </w:tcBorders>
          </w:tcPr>
          <w:p w14:paraId="1AAD6B77" w14:textId="4177298A" w:rsidR="001B7716" w:rsidRPr="00B82227" w:rsidRDefault="00B82227" w:rsidP="00274F0F">
            <w:pPr>
              <w:spacing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B82227">
              <w:rPr>
                <w:rFonts w:ascii="Arial" w:hAnsi="Arial" w:cs="Arial"/>
                <w:iCs/>
                <w:sz w:val="20"/>
                <w:szCs w:val="20"/>
              </w:rPr>
              <w:t xml:space="preserve">Exemption from </w:t>
            </w:r>
            <w:r w:rsidRPr="00B82227">
              <w:rPr>
                <w:rFonts w:ascii="Arial" w:hAnsi="Arial" w:cs="Arial"/>
                <w:iCs/>
                <w:color w:val="FF0000"/>
                <w:sz w:val="20"/>
                <w:szCs w:val="20"/>
              </w:rPr>
              <w:t>&lt;compulsory schooling OR compulsory participation&gt;</w:t>
            </w:r>
          </w:p>
        </w:tc>
      </w:tr>
      <w:tr w:rsidR="00AC1E61" w:rsidRPr="00BD3C7E" w14:paraId="6EF323AE" w14:textId="77777777" w:rsidTr="00227CB7">
        <w:tc>
          <w:tcPr>
            <w:tcW w:w="5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758B"/>
          </w:tcPr>
          <w:p w14:paraId="4E018C21" w14:textId="17572663" w:rsidR="00AC1E61" w:rsidRPr="00BD3C7E" w:rsidRDefault="00AC1E61" w:rsidP="0056582D">
            <w:pPr>
              <w:spacing w:line="260" w:lineRule="exac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</w:t>
            </w:r>
            <w:r w:rsidR="0056582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ich individuals or groups</w:t>
            </w:r>
            <w:r w:rsidR="0006366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56582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will be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affected by the decision?</w:t>
            </w:r>
          </w:p>
        </w:tc>
        <w:tc>
          <w:tcPr>
            <w:tcW w:w="9915" w:type="dxa"/>
            <w:gridSpan w:val="3"/>
            <w:tcBorders>
              <w:top w:val="single" w:sz="4" w:space="0" w:color="4F758B"/>
              <w:bottom w:val="single" w:sz="4" w:space="0" w:color="4F758B"/>
            </w:tcBorders>
          </w:tcPr>
          <w:p w14:paraId="2C69B936" w14:textId="46DE2A8D" w:rsidR="00AC1E61" w:rsidRPr="00B82227" w:rsidRDefault="00B82227" w:rsidP="0056582D">
            <w:pPr>
              <w:spacing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B82227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&lt;Insert name of </w:t>
            </w:r>
            <w:r w:rsidR="000F2170">
              <w:rPr>
                <w:rFonts w:ascii="Arial" w:hAnsi="Arial" w:cs="Arial"/>
                <w:iCs/>
                <w:color w:val="FF0000"/>
                <w:sz w:val="20"/>
                <w:szCs w:val="20"/>
              </w:rPr>
              <w:t>child or young person</w:t>
            </w:r>
            <w:r w:rsidRPr="00B82227">
              <w:rPr>
                <w:rFonts w:ascii="Arial" w:hAnsi="Arial" w:cs="Arial"/>
                <w:iCs/>
                <w:color w:val="FF0000"/>
                <w:sz w:val="20"/>
                <w:szCs w:val="20"/>
              </w:rPr>
              <w:t>&gt;</w:t>
            </w:r>
          </w:p>
        </w:tc>
      </w:tr>
      <w:tr w:rsidR="00AC1E61" w:rsidRPr="00BD3C7E" w14:paraId="0B784805" w14:textId="77777777" w:rsidTr="00AC1E61">
        <w:tc>
          <w:tcPr>
            <w:tcW w:w="5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758B"/>
          </w:tcPr>
          <w:p w14:paraId="00ACCCF7" w14:textId="0F2DE2F4" w:rsidR="00AC1E61" w:rsidRPr="00BD3C7E" w:rsidRDefault="00B82227" w:rsidP="002228AA">
            <w:pPr>
              <w:spacing w:line="260" w:lineRule="exac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School or Region</w:t>
            </w:r>
            <w:r w:rsidR="00AC1E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completing assessment</w:t>
            </w:r>
          </w:p>
        </w:tc>
        <w:tc>
          <w:tcPr>
            <w:tcW w:w="3305" w:type="dxa"/>
            <w:tcBorders>
              <w:top w:val="single" w:sz="4" w:space="0" w:color="4F758B"/>
              <w:bottom w:val="single" w:sz="4" w:space="0" w:color="4F758B"/>
            </w:tcBorders>
          </w:tcPr>
          <w:p w14:paraId="003FD1DD" w14:textId="3E5613EA" w:rsidR="00AC1E61" w:rsidRPr="00BD3C7E" w:rsidRDefault="00B82227" w:rsidP="002228A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B82227">
              <w:rPr>
                <w:rFonts w:ascii="Arial" w:hAnsi="Arial" w:cs="Arial"/>
                <w:color w:val="FF0000"/>
                <w:sz w:val="20"/>
                <w:szCs w:val="20"/>
              </w:rPr>
              <w:t>&lt;Insert name of school or region&gt;</w:t>
            </w:r>
          </w:p>
        </w:tc>
        <w:tc>
          <w:tcPr>
            <w:tcW w:w="1656" w:type="dxa"/>
            <w:tcBorders>
              <w:top w:val="single" w:sz="4" w:space="0" w:color="4F758B"/>
              <w:bottom w:val="single" w:sz="4" w:space="0" w:color="4F758B"/>
            </w:tcBorders>
            <w:shd w:val="clear" w:color="auto" w:fill="4F758B"/>
          </w:tcPr>
          <w:p w14:paraId="2B62AC42" w14:textId="3290F244" w:rsidR="00AC1E61" w:rsidRPr="00BD3C7E" w:rsidRDefault="00AC1E61" w:rsidP="002228A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C1E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Region</w:t>
            </w:r>
          </w:p>
        </w:tc>
        <w:tc>
          <w:tcPr>
            <w:tcW w:w="4954" w:type="dxa"/>
            <w:tcBorders>
              <w:top w:val="single" w:sz="4" w:space="0" w:color="4F758B"/>
              <w:bottom w:val="single" w:sz="4" w:space="0" w:color="4F758B"/>
            </w:tcBorders>
          </w:tcPr>
          <w:p w14:paraId="03771BF5" w14:textId="0202DCD6" w:rsidR="00AC1E61" w:rsidRPr="00BD3C7E" w:rsidRDefault="00B82227" w:rsidP="002228A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B82227">
              <w:rPr>
                <w:rFonts w:ascii="Arial" w:hAnsi="Arial" w:cs="Arial"/>
                <w:color w:val="FF0000"/>
                <w:sz w:val="20"/>
                <w:szCs w:val="20"/>
              </w:rPr>
              <w:t xml:space="preserve">&lt;Insert name of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region</w:t>
            </w:r>
            <w:r w:rsidRPr="00B82227"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1B7716" w:rsidRPr="00BD3C7E" w14:paraId="20A43A57" w14:textId="77777777" w:rsidTr="00AC1E61">
        <w:tc>
          <w:tcPr>
            <w:tcW w:w="5387" w:type="dxa"/>
            <w:tcBorders>
              <w:top w:val="single" w:sz="4" w:space="0" w:color="FFFFFF" w:themeColor="background1"/>
              <w:bottom w:val="single" w:sz="4" w:space="0" w:color="6BA4B8"/>
            </w:tcBorders>
            <w:shd w:val="clear" w:color="auto" w:fill="4F758B"/>
          </w:tcPr>
          <w:p w14:paraId="206F9C45" w14:textId="5838F881" w:rsidR="001B7716" w:rsidRPr="00BD3C7E" w:rsidRDefault="0056582D" w:rsidP="0056582D">
            <w:pPr>
              <w:spacing w:line="260" w:lineRule="exac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What law or regulation allows you to make this decision? </w:t>
            </w:r>
          </w:p>
        </w:tc>
        <w:tc>
          <w:tcPr>
            <w:tcW w:w="9915" w:type="dxa"/>
            <w:gridSpan w:val="3"/>
            <w:tcBorders>
              <w:top w:val="single" w:sz="4" w:space="0" w:color="4F758B"/>
              <w:bottom w:val="single" w:sz="4" w:space="0" w:color="4F758B"/>
            </w:tcBorders>
          </w:tcPr>
          <w:p w14:paraId="74CABC3C" w14:textId="083600BF" w:rsidR="001B7716" w:rsidRPr="00B82227" w:rsidRDefault="00AC1E61" w:rsidP="002228AA">
            <w:pPr>
              <w:spacing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B82227">
              <w:rPr>
                <w:rFonts w:ascii="Arial" w:hAnsi="Arial" w:cs="Arial"/>
                <w:i/>
                <w:sz w:val="20"/>
                <w:szCs w:val="20"/>
              </w:rPr>
              <w:t>Education General Provisions Act (2006)</w:t>
            </w:r>
            <w:r w:rsidR="00B82227">
              <w:rPr>
                <w:rFonts w:ascii="Arial" w:hAnsi="Arial" w:cs="Arial"/>
                <w:iCs/>
                <w:sz w:val="20"/>
                <w:szCs w:val="20"/>
              </w:rPr>
              <w:t xml:space="preserve"> (Qld) (EGPA)</w:t>
            </w:r>
          </w:p>
        </w:tc>
      </w:tr>
    </w:tbl>
    <w:p w14:paraId="548009E1" w14:textId="14A592F5" w:rsidR="0066080B" w:rsidRPr="0084301F" w:rsidRDefault="0066080B" w:rsidP="0066080B">
      <w:pPr>
        <w:pStyle w:val="PPRHRreviewheading"/>
        <w:spacing w:before="120" w:after="120"/>
        <w:rPr>
          <w:i/>
          <w:sz w:val="18"/>
          <w:szCs w:val="18"/>
        </w:rPr>
      </w:pPr>
      <w:r w:rsidRPr="0084301F">
        <w:rPr>
          <w:i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07E111" wp14:editId="7C522B54">
                <wp:simplePos x="0" y="0"/>
                <wp:positionH relativeFrom="column">
                  <wp:posOffset>1603375</wp:posOffset>
                </wp:positionH>
                <wp:positionV relativeFrom="paragraph">
                  <wp:posOffset>5136515</wp:posOffset>
                </wp:positionV>
                <wp:extent cx="6960870" cy="230505"/>
                <wp:effectExtent l="0" t="0" r="0" b="0"/>
                <wp:wrapNone/>
                <wp:docPr id="5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87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B97742" w14:textId="77777777" w:rsidR="0066080B" w:rsidRPr="00BE6598" w:rsidRDefault="0066080B" w:rsidP="0066080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E6598">
                              <w:rPr>
                                <w:rFonts w:ascii="Arial" w:hAnsi="Arial" w:cs="Arial"/>
                                <w:kern w:val="24"/>
                                <w:sz w:val="18"/>
                                <w:szCs w:val="18"/>
                              </w:rPr>
                              <w:t>Record the outcome of assessment, including any amendments to the policy or procedure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7E111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126.25pt;margin-top:404.45pt;width:548.1pt;height:18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" filled="f" stroked="f">
                <v:textbox style="mso-fit-shape-to-text:t">
                  <w:txbxContent>
                    <w:p w14:paraId="71B97742" w14:textId="77777777" w:rsidR="0066080B" w:rsidRPr="00BE6598" w:rsidRDefault="0066080B" w:rsidP="0066080B">
                      <w:pPr>
                        <w:pStyle w:val="NormalWeb"/>
                        <w:spacing w:before="0" w:beforeAutospacing="0" w:after="0" w:afterAutospacing="0"/>
                      </w:pPr>
                      <w:r w:rsidRPr="00BE6598">
                        <w:rPr>
                          <w:rFonts w:ascii="Arial" w:hAnsi="Arial" w:cs="Arial"/>
                          <w:kern w:val="24"/>
                          <w:sz w:val="18"/>
                          <w:szCs w:val="18"/>
                        </w:rPr>
                        <w:t>Record the outcome of assessment, including any amendments to the policy or procedure</w:t>
                      </w:r>
                    </w:p>
                  </w:txbxContent>
                </v:textbox>
              </v:shape>
            </w:pict>
          </mc:Fallback>
        </mc:AlternateContent>
      </w:r>
      <w:r w:rsidRPr="0084301F">
        <w:rPr>
          <w:b/>
          <w:i/>
          <w:sz w:val="18"/>
          <w:szCs w:val="18"/>
        </w:rPr>
        <w:t>NOTE:</w:t>
      </w:r>
      <w:r w:rsidRPr="0084301F">
        <w:rPr>
          <w:i/>
          <w:sz w:val="18"/>
          <w:szCs w:val="18"/>
        </w:rPr>
        <w:t xml:space="preserve"> Some human rights have already been identified (below) as ones that could be engaged in decisions </w:t>
      </w:r>
      <w:r>
        <w:rPr>
          <w:i/>
          <w:sz w:val="18"/>
          <w:szCs w:val="18"/>
        </w:rPr>
        <w:t>about</w:t>
      </w:r>
      <w:r w:rsidRPr="0084301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exemptions</w:t>
      </w:r>
      <w:r w:rsidRPr="0084301F">
        <w:rPr>
          <w:i/>
          <w:sz w:val="18"/>
          <w:szCs w:val="18"/>
        </w:rPr>
        <w:t>. For each decision being made information can be removed or added as required.</w:t>
      </w:r>
    </w:p>
    <w:p w14:paraId="4D708C0C" w14:textId="77777777" w:rsidR="0066080B" w:rsidRDefault="0066080B" w:rsidP="00540E0E">
      <w:pPr>
        <w:spacing w:after="0" w:line="260" w:lineRule="exact"/>
        <w:rPr>
          <w:rFonts w:ascii="Arial" w:hAnsi="Arial" w:cs="Arial"/>
          <w:sz w:val="20"/>
        </w:rPr>
      </w:pPr>
    </w:p>
    <w:tbl>
      <w:tblPr>
        <w:tblStyle w:val="TableGrid"/>
        <w:tblW w:w="15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30"/>
        <w:gridCol w:w="3118"/>
        <w:gridCol w:w="5529"/>
        <w:gridCol w:w="4105"/>
      </w:tblGrid>
      <w:tr w:rsidR="006E776E" w:rsidRPr="006E776E" w14:paraId="4D23318A" w14:textId="77777777" w:rsidTr="0004715B">
        <w:trPr>
          <w:trHeight w:val="192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2B5E5"/>
          </w:tcPr>
          <w:p w14:paraId="6FFDF377" w14:textId="561EC02A" w:rsidR="006E776E" w:rsidRPr="000B67E5" w:rsidRDefault="0062038F" w:rsidP="00EE7F83">
            <w:pPr>
              <w:tabs>
                <w:tab w:val="left" w:pos="1581"/>
              </w:tabs>
              <w:spacing w:line="260" w:lineRule="exact"/>
              <w:ind w:right="459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0B67E5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IDENT</w:t>
            </w:r>
            <w:r w:rsidR="00274F0F" w:rsidRPr="000B67E5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IF</w:t>
            </w:r>
            <w:r w:rsidRPr="000B67E5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6C8BC"/>
          </w:tcPr>
          <w:p w14:paraId="7C720700" w14:textId="1A453605" w:rsidR="006E776E" w:rsidRPr="000B67E5" w:rsidRDefault="0062038F" w:rsidP="00EE7F83">
            <w:pPr>
              <w:spacing w:line="260" w:lineRule="exact"/>
              <w:ind w:right="461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0B67E5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IMPACT</w:t>
            </w:r>
          </w:p>
        </w:tc>
        <w:tc>
          <w:tcPr>
            <w:tcW w:w="55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4A6D7"/>
          </w:tcPr>
          <w:p w14:paraId="3D83850F" w14:textId="2762B559" w:rsidR="006E776E" w:rsidRPr="000B67E5" w:rsidRDefault="0062038F" w:rsidP="00EE7F83">
            <w:pPr>
              <w:spacing w:line="260" w:lineRule="exact"/>
              <w:ind w:right="605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0B67E5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JUSTIFICATION</w:t>
            </w:r>
          </w:p>
        </w:tc>
        <w:tc>
          <w:tcPr>
            <w:tcW w:w="41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3DD6D"/>
          </w:tcPr>
          <w:p w14:paraId="7994663D" w14:textId="0291A8D8" w:rsidR="006E776E" w:rsidRPr="000B67E5" w:rsidRDefault="0062038F" w:rsidP="00DB22A9">
            <w:pPr>
              <w:spacing w:line="26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B67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OUTCOME</w:t>
            </w:r>
            <w:r w:rsidR="00A16D0E" w:rsidRPr="000B67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716" w:rsidRPr="00BD3C7E" w14:paraId="643193E1" w14:textId="77777777" w:rsidTr="00CE65B9">
        <w:trPr>
          <w:trHeight w:val="606"/>
        </w:trPr>
        <w:tc>
          <w:tcPr>
            <w:tcW w:w="283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2B5E5"/>
          </w:tcPr>
          <w:p w14:paraId="5A304CE1" w14:textId="435A68F0" w:rsidR="001B7716" w:rsidRPr="000B67E5" w:rsidRDefault="00A16D0E" w:rsidP="00EC52FE">
            <w:pPr>
              <w:tabs>
                <w:tab w:val="left" w:pos="1581"/>
              </w:tabs>
              <w:spacing w:line="260" w:lineRule="exact"/>
              <w:ind w:right="32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67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 human rights engaged by the </w:t>
            </w:r>
            <w:r w:rsidR="00EC52FE" w:rsidRPr="000B67E5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0B67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ecision? 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6C8BC"/>
          </w:tcPr>
          <w:p w14:paraId="0A02341A" w14:textId="7E789A12" w:rsidR="001B7716" w:rsidRPr="000B67E5" w:rsidRDefault="00A16D0E" w:rsidP="00EE7F83">
            <w:pPr>
              <w:spacing w:line="260" w:lineRule="exact"/>
              <w:ind w:right="46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67E5">
              <w:rPr>
                <w:rFonts w:ascii="Arial" w:hAnsi="Arial" w:cs="Arial"/>
                <w:color w:val="000000" w:themeColor="text1"/>
                <w:sz w:val="20"/>
                <w:szCs w:val="20"/>
              </w:rPr>
              <w:t>Are these rights limited or promoted by the decision?</w:t>
            </w:r>
          </w:p>
        </w:tc>
        <w:tc>
          <w:tcPr>
            <w:tcW w:w="552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4A6D7"/>
          </w:tcPr>
          <w:p w14:paraId="2C8A9691" w14:textId="73BBB167" w:rsidR="001B7716" w:rsidRPr="000B67E5" w:rsidRDefault="00A16D0E" w:rsidP="00EC52FE">
            <w:pPr>
              <w:spacing w:line="260" w:lineRule="exact"/>
              <w:ind w:right="46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67E5">
              <w:rPr>
                <w:rFonts w:ascii="Arial" w:hAnsi="Arial" w:cs="Arial"/>
                <w:color w:val="000000" w:themeColor="text1"/>
                <w:sz w:val="20"/>
                <w:szCs w:val="20"/>
              </w:rPr>
              <w:t>Is there a good reason for any limitation</w:t>
            </w:r>
            <w:r w:rsidR="00EC52FE" w:rsidRPr="000B67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B67E5">
              <w:rPr>
                <w:rFonts w:ascii="Arial" w:hAnsi="Arial" w:cs="Arial"/>
                <w:color w:val="000000" w:themeColor="text1"/>
                <w:sz w:val="20"/>
                <w:szCs w:val="20"/>
              </w:rPr>
              <w:t>and is it justifiable?</w:t>
            </w:r>
            <w:r w:rsidRPr="000B67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3DD6D"/>
          </w:tcPr>
          <w:p w14:paraId="499B41A1" w14:textId="36ABD569" w:rsidR="001B7716" w:rsidRPr="000B67E5" w:rsidRDefault="00A16D0E" w:rsidP="00EC52FE">
            <w:pPr>
              <w:spacing w:line="260" w:lineRule="exact"/>
              <w:ind w:right="59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67E5">
              <w:rPr>
                <w:rFonts w:ascii="Arial" w:hAnsi="Arial" w:cs="Arial"/>
                <w:color w:val="000000" w:themeColor="text1"/>
                <w:sz w:val="20"/>
                <w:szCs w:val="20"/>
              </w:rPr>
              <w:t>Is the decision compatible with human rights?</w:t>
            </w:r>
            <w:r w:rsidR="006608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B67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Consider all rights engaged. </w:t>
            </w:r>
          </w:p>
        </w:tc>
      </w:tr>
      <w:tr w:rsidR="00A16D0E" w:rsidRPr="00BD3C7E" w14:paraId="36FCDE0F" w14:textId="77777777" w:rsidTr="00CE65B9">
        <w:trPr>
          <w:trHeight w:val="23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6EB" w14:textId="7164DE68" w:rsidR="006A663E" w:rsidRPr="0066080B" w:rsidRDefault="00DB52DC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S.25 Privacy and reputation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02D" w14:textId="0EF9B9A9" w:rsidR="00F64D3E" w:rsidRPr="00F64D3E" w:rsidRDefault="00F64D3E" w:rsidP="00F64D3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64D3E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Pr="00F64D3E">
              <w:rPr>
                <w:rFonts w:ascii="Arial" w:hAnsi="Arial" w:cs="Arial"/>
                <w:sz w:val="20"/>
                <w:szCs w:val="20"/>
              </w:rPr>
              <w:t>application forms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for exemption</w:t>
            </w:r>
            <w:r w:rsidR="0026439B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F64D3E">
              <w:rPr>
                <w:rFonts w:ascii="Arial" w:hAnsi="Arial" w:cs="Arial"/>
                <w:iCs/>
                <w:sz w:val="20"/>
                <w:szCs w:val="20"/>
              </w:rPr>
              <w:t xml:space="preserve"> limit this right as they require people to disclose personal information such as name, date of birth</w:t>
            </w:r>
            <w:r w:rsidR="00F270F1">
              <w:rPr>
                <w:rFonts w:ascii="Arial" w:hAnsi="Arial" w:cs="Arial"/>
                <w:iCs/>
                <w:sz w:val="20"/>
                <w:szCs w:val="20"/>
              </w:rPr>
              <w:t>, address, and reason/s why the child or young person is unable to attend school or participate full time in an eligible option, or it would be unreasonable to require them to do so</w:t>
            </w:r>
            <w:r w:rsidRPr="00F64D3E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F270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30888858" w14:textId="7FD7DA1A" w:rsidR="006A663E" w:rsidRPr="0066080B" w:rsidRDefault="006A663E" w:rsidP="006A663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054" w14:textId="3A005157" w:rsidR="00614679" w:rsidRDefault="00614679" w:rsidP="00DB611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4679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An exemption from compulsory schooling or the compulsory participation phase </w:t>
            </w:r>
            <w:r w:rsidR="00EB561D">
              <w:rPr>
                <w:rFonts w:ascii="Arial" w:hAnsi="Arial" w:cs="Arial"/>
                <w:iCs/>
                <w:sz w:val="20"/>
                <w:szCs w:val="20"/>
              </w:rPr>
              <w:t>may be</w:t>
            </w:r>
            <w:r w:rsidRPr="00614679">
              <w:rPr>
                <w:rFonts w:ascii="Arial" w:hAnsi="Arial" w:cs="Arial"/>
                <w:iCs/>
                <w:sz w:val="20"/>
                <w:szCs w:val="20"/>
              </w:rPr>
              <w:t xml:space="preserve"> available when a child or a young person cannot attend, or it would be unreasonable in all the circumstances to require them to attend, school or participate in an eligible option </w:t>
            </w:r>
            <w:r w:rsidRPr="00614679">
              <w:rPr>
                <w:rFonts w:ascii="Arial" w:hAnsi="Arial" w:cs="Arial"/>
                <w:bCs/>
                <w:iCs/>
                <w:sz w:val="20"/>
                <w:szCs w:val="20"/>
              </w:rPr>
              <w:t>for a period of more than 10 consecutive school days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14:paraId="1590D42F" w14:textId="77777777" w:rsidR="00614679" w:rsidRDefault="00614679" w:rsidP="00DB611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0BED98" w14:textId="5E3AEC87" w:rsidR="003431E3" w:rsidRDefault="003431E3" w:rsidP="00DB611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Pr="003431E3">
              <w:rPr>
                <w:rFonts w:ascii="Arial" w:hAnsi="Arial" w:cs="Arial"/>
                <w:i/>
                <w:sz w:val="20"/>
                <w:szCs w:val="20"/>
              </w:rPr>
              <w:t>Exem</w:t>
            </w:r>
            <w:r>
              <w:rPr>
                <w:rFonts w:ascii="Arial" w:hAnsi="Arial" w:cs="Arial"/>
                <w:i/>
                <w:sz w:val="20"/>
                <w:szCs w:val="20"/>
              </w:rPr>
              <w:t>pt</w:t>
            </w:r>
            <w:r w:rsidRPr="003431E3">
              <w:rPr>
                <w:rFonts w:ascii="Arial" w:hAnsi="Arial" w:cs="Arial"/>
                <w:i/>
                <w:sz w:val="20"/>
                <w:szCs w:val="20"/>
              </w:rPr>
              <w:t>ions from compulsory schooling and compulsory participation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procedure </w:t>
            </w:r>
            <w:r w:rsidR="00614679" w:rsidRPr="00614679">
              <w:rPr>
                <w:rFonts w:ascii="Arial" w:hAnsi="Arial" w:cs="Arial"/>
                <w:iCs/>
                <w:sz w:val="20"/>
                <w:szCs w:val="20"/>
              </w:rPr>
              <w:t>outlines that an exemption may be appropriate in the following circumstances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1248399" w14:textId="77777777" w:rsidR="003431E3" w:rsidRPr="003431E3" w:rsidRDefault="003431E3" w:rsidP="003431E3">
            <w:pPr>
              <w:numPr>
                <w:ilvl w:val="0"/>
                <w:numId w:val="1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431E3">
              <w:rPr>
                <w:rFonts w:ascii="Arial" w:hAnsi="Arial" w:cs="Arial"/>
                <w:iCs/>
                <w:sz w:val="20"/>
                <w:szCs w:val="20"/>
              </w:rPr>
              <w:lastRenderedPageBreak/>
              <w:t>diagnosis of terminal medical condition</w:t>
            </w:r>
          </w:p>
          <w:p w14:paraId="30D94CE4" w14:textId="77777777" w:rsidR="003431E3" w:rsidRPr="003431E3" w:rsidRDefault="003431E3" w:rsidP="003431E3">
            <w:pPr>
              <w:numPr>
                <w:ilvl w:val="0"/>
                <w:numId w:val="1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431E3">
              <w:rPr>
                <w:rFonts w:ascii="Arial" w:hAnsi="Arial" w:cs="Arial"/>
                <w:iCs/>
                <w:sz w:val="20"/>
                <w:szCs w:val="20"/>
              </w:rPr>
              <w:t>illness or hospitalisation (including recovery period at home) for a period greater than 10 consecutive school days</w:t>
            </w:r>
          </w:p>
          <w:p w14:paraId="1B67852C" w14:textId="77777777" w:rsidR="003431E3" w:rsidRPr="003431E3" w:rsidRDefault="003431E3" w:rsidP="003431E3">
            <w:pPr>
              <w:numPr>
                <w:ilvl w:val="0"/>
                <w:numId w:val="1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431E3">
              <w:rPr>
                <w:rFonts w:ascii="Arial" w:hAnsi="Arial" w:cs="Arial"/>
                <w:iCs/>
                <w:sz w:val="20"/>
                <w:szCs w:val="20"/>
              </w:rPr>
              <w:t>‘carer’ responsibilities</w:t>
            </w:r>
          </w:p>
          <w:p w14:paraId="18F6115B" w14:textId="77777777" w:rsidR="003431E3" w:rsidRDefault="003431E3" w:rsidP="003431E3">
            <w:pPr>
              <w:numPr>
                <w:ilvl w:val="0"/>
                <w:numId w:val="1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431E3">
              <w:rPr>
                <w:rFonts w:ascii="Arial" w:hAnsi="Arial" w:cs="Arial"/>
                <w:iCs/>
                <w:sz w:val="20"/>
                <w:szCs w:val="20"/>
              </w:rPr>
              <w:t>diagnosed mental health condition</w:t>
            </w:r>
          </w:p>
          <w:p w14:paraId="517128BF" w14:textId="4880807E" w:rsidR="003431E3" w:rsidRDefault="003431E3" w:rsidP="003431E3">
            <w:pPr>
              <w:numPr>
                <w:ilvl w:val="0"/>
                <w:numId w:val="1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431E3">
              <w:rPr>
                <w:rFonts w:ascii="Arial" w:hAnsi="Arial" w:cs="Arial"/>
                <w:iCs/>
                <w:sz w:val="20"/>
                <w:szCs w:val="20"/>
              </w:rPr>
              <w:t>temporary interstate or overseas relocation where the family intends to return to Queensland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04CE3A0B" w14:textId="76956A6B" w:rsidR="003431E3" w:rsidRDefault="003431E3" w:rsidP="003431E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3C28FDB" w14:textId="77777777" w:rsidR="003F1B6E" w:rsidRDefault="003F1B6E" w:rsidP="003F1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Legislation provides that a parent, or young person in the compulsory participation phase, may apply for an exemption. </w:t>
            </w:r>
            <w:r w:rsidRPr="00211BB1">
              <w:rPr>
                <w:rFonts w:ascii="Arial" w:hAnsi="Arial" w:cs="Arial"/>
                <w:sz w:val="20"/>
                <w:szCs w:val="20"/>
              </w:rPr>
              <w:t>The application must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BB1">
              <w:rPr>
                <w:rFonts w:ascii="Arial" w:hAnsi="Arial" w:cs="Arial"/>
                <w:sz w:val="20"/>
                <w:szCs w:val="20"/>
              </w:rPr>
              <w:t>state the period for which the exemption is sought</w:t>
            </w:r>
            <w:r>
              <w:rPr>
                <w:rFonts w:ascii="Arial" w:hAnsi="Arial" w:cs="Arial"/>
                <w:sz w:val="20"/>
                <w:szCs w:val="20"/>
              </w:rPr>
              <w:t xml:space="preserve"> and, for </w:t>
            </w:r>
            <w:r w:rsidRPr="00211BB1">
              <w:rPr>
                <w:rFonts w:ascii="Arial" w:hAnsi="Arial" w:cs="Arial"/>
                <w:sz w:val="20"/>
                <w:szCs w:val="20"/>
              </w:rPr>
              <w:t>an application by a young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it must also i</w:t>
            </w:r>
            <w:r w:rsidRPr="00211BB1">
              <w:rPr>
                <w:rFonts w:ascii="Arial" w:hAnsi="Arial" w:cs="Arial"/>
                <w:sz w:val="20"/>
                <w:szCs w:val="20"/>
              </w:rPr>
              <w:t xml:space="preserve">nclude the signed consent of </w:t>
            </w:r>
            <w:r>
              <w:rPr>
                <w:rFonts w:ascii="Arial" w:hAnsi="Arial" w:cs="Arial"/>
                <w:sz w:val="20"/>
                <w:szCs w:val="20"/>
              </w:rPr>
              <w:t>their parent</w:t>
            </w:r>
            <w:r w:rsidRPr="00211BB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C6C00E" w14:textId="77777777" w:rsidR="003F1B6E" w:rsidRDefault="003F1B6E" w:rsidP="003431E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5EB7969" w14:textId="38C1195D" w:rsidR="003431E3" w:rsidRDefault="003431E3" w:rsidP="003431E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Section 186 of the </w:t>
            </w:r>
            <w:r w:rsidRPr="00D02C8C">
              <w:rPr>
                <w:rFonts w:ascii="Arial" w:hAnsi="Arial" w:cs="Arial"/>
                <w:i/>
                <w:sz w:val="20"/>
                <w:szCs w:val="20"/>
              </w:rPr>
              <w:t>Education (General Provisions) Act 2006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(EGPA) states that t</w:t>
            </w:r>
            <w:r w:rsidRPr="00D02C8C">
              <w:rPr>
                <w:rFonts w:ascii="Arial" w:hAnsi="Arial" w:cs="Arial"/>
                <w:iCs/>
                <w:sz w:val="20"/>
                <w:szCs w:val="20"/>
              </w:rPr>
              <w:t>he applicant must provide any other relevant information reasonably required by the relevant decision-maker to decide the application.</w:t>
            </w:r>
          </w:p>
          <w:p w14:paraId="5D209470" w14:textId="759D7A1F" w:rsidR="003431E3" w:rsidRDefault="003431E3" w:rsidP="003431E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55A36B3" w14:textId="34525EDE" w:rsidR="00F10930" w:rsidRPr="003431E3" w:rsidRDefault="003431E3" w:rsidP="003431E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If insufficient information is provided on the application form, </w:t>
            </w:r>
            <w:r w:rsidR="00DB5454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="00DC7A97">
              <w:rPr>
                <w:rFonts w:ascii="Arial" w:hAnsi="Arial" w:cs="Arial"/>
                <w:iCs/>
                <w:sz w:val="20"/>
                <w:szCs w:val="20"/>
              </w:rPr>
              <w:t>he decision maker may request further information (ss.186(2) and 187, and ss.</w:t>
            </w:r>
            <w:r w:rsidR="00DC7A97" w:rsidRPr="00DC7A97">
              <w:rPr>
                <w:rFonts w:ascii="Arial" w:hAnsi="Arial" w:cs="Arial"/>
                <w:iCs/>
                <w:sz w:val="20"/>
                <w:szCs w:val="20"/>
              </w:rPr>
              <w:t>245(4) and 246</w:t>
            </w:r>
            <w:r w:rsidR="00DC7A97">
              <w:rPr>
                <w:rFonts w:ascii="Arial" w:hAnsi="Arial" w:cs="Arial"/>
                <w:iCs/>
                <w:sz w:val="20"/>
                <w:szCs w:val="20"/>
              </w:rPr>
              <w:t xml:space="preserve"> of the EGPA).</w:t>
            </w:r>
          </w:p>
          <w:p w14:paraId="436D03FB" w14:textId="77777777" w:rsidR="006A663E" w:rsidRDefault="006A663E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6919B08" w14:textId="488178C5" w:rsidR="00392547" w:rsidRDefault="00392547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The circumstances of the applicant or student may be of a sensitive nature (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domestic violence situation, particular illness or family situation) and requiring this information to be provided when applying for an exemption limits the applicant’s </w:t>
            </w:r>
            <w:r w:rsidR="0090022E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Cs/>
                <w:sz w:val="20"/>
                <w:szCs w:val="20"/>
              </w:rPr>
              <w:t>or student’s</w:t>
            </w:r>
            <w:r w:rsidR="0090022E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right to privacy and reputation. However, it is necessary in order for </w:t>
            </w:r>
            <w:r w:rsidR="003A0212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Chief Executive’s delegate to make a decision </w:t>
            </w:r>
            <w:r w:rsidR="0090022E">
              <w:rPr>
                <w:rFonts w:ascii="Arial" w:hAnsi="Arial" w:cs="Arial"/>
                <w:iCs/>
                <w:sz w:val="20"/>
                <w:szCs w:val="20"/>
              </w:rPr>
              <w:t xml:space="preserve">under legislation </w:t>
            </w:r>
            <w:r w:rsidR="00343493">
              <w:rPr>
                <w:rFonts w:ascii="Arial" w:hAnsi="Arial" w:cs="Arial"/>
                <w:iCs/>
                <w:sz w:val="20"/>
                <w:szCs w:val="20"/>
              </w:rPr>
              <w:t xml:space="preserve">and to ensure that it aligns with the </w:t>
            </w:r>
            <w:r w:rsidR="00343493" w:rsidRPr="003431E3">
              <w:rPr>
                <w:rFonts w:ascii="Arial" w:hAnsi="Arial" w:cs="Arial"/>
                <w:i/>
                <w:sz w:val="20"/>
                <w:szCs w:val="20"/>
              </w:rPr>
              <w:t>Exem</w:t>
            </w:r>
            <w:r w:rsidR="00343493">
              <w:rPr>
                <w:rFonts w:ascii="Arial" w:hAnsi="Arial" w:cs="Arial"/>
                <w:i/>
                <w:sz w:val="20"/>
                <w:szCs w:val="20"/>
              </w:rPr>
              <w:t>pt</w:t>
            </w:r>
            <w:r w:rsidR="00343493" w:rsidRPr="003431E3">
              <w:rPr>
                <w:rFonts w:ascii="Arial" w:hAnsi="Arial" w:cs="Arial"/>
                <w:i/>
                <w:sz w:val="20"/>
                <w:szCs w:val="20"/>
              </w:rPr>
              <w:t>ions from compulsory schooling and compulsory participation</w:t>
            </w:r>
            <w:r w:rsidR="00343493">
              <w:rPr>
                <w:rFonts w:ascii="Arial" w:hAnsi="Arial" w:cs="Arial"/>
                <w:iCs/>
                <w:sz w:val="20"/>
                <w:szCs w:val="20"/>
              </w:rPr>
              <w:t xml:space="preserve"> procedure.</w:t>
            </w:r>
          </w:p>
          <w:p w14:paraId="0FC50A66" w14:textId="77777777" w:rsidR="00614679" w:rsidRDefault="00614679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0E370D6" w14:textId="489EE3CE" w:rsidR="00614679" w:rsidRPr="0066080B" w:rsidRDefault="00614679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4679">
              <w:rPr>
                <w:rFonts w:ascii="Arial" w:hAnsi="Arial" w:cs="Arial"/>
                <w:iCs/>
                <w:sz w:val="20"/>
                <w:szCs w:val="20"/>
              </w:rPr>
              <w:t xml:space="preserve">In accordance with section 426(4) of the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EGPA,</w:t>
            </w:r>
            <w:r w:rsidRPr="00614679">
              <w:rPr>
                <w:rFonts w:ascii="Arial" w:hAnsi="Arial" w:cs="Arial"/>
                <w:iCs/>
                <w:sz w:val="20"/>
                <w:szCs w:val="20"/>
              </w:rPr>
              <w:t xml:space="preserve"> a person must not make a record of the information, use the information or disclose the information to anyone else unless it is for one of the permitted exceptions prescribed in this section, </w:t>
            </w:r>
            <w:proofErr w:type="gramStart"/>
            <w:r w:rsidRPr="00614679">
              <w:rPr>
                <w:rFonts w:ascii="Arial" w:hAnsi="Arial" w:cs="Arial"/>
                <w:iCs/>
                <w:sz w:val="20"/>
                <w:szCs w:val="20"/>
              </w:rPr>
              <w:t>e.g.</w:t>
            </w:r>
            <w:proofErr w:type="gramEnd"/>
            <w:r w:rsidRPr="00614679">
              <w:rPr>
                <w:rFonts w:ascii="Arial" w:hAnsi="Arial" w:cs="Arial"/>
                <w:iCs/>
                <w:sz w:val="20"/>
                <w:szCs w:val="20"/>
              </w:rPr>
              <w:t xml:space="preserve"> a purpose of the Act, with consent of the student's parent/carer, in the interests of the safety and wellbeing of the student, etc.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E7A2" w14:textId="2A697273" w:rsidR="00A16D0E" w:rsidRPr="0066080B" w:rsidRDefault="00DC7A97" w:rsidP="00C35F9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C7A97">
              <w:rPr>
                <w:rFonts w:ascii="Arial" w:hAnsi="Arial" w:cs="Arial"/>
                <w:iCs/>
                <w:sz w:val="20"/>
                <w:szCs w:val="20"/>
              </w:rPr>
              <w:lastRenderedPageBreak/>
              <w:t>The decision is compatible with human rights. While the right to privacy and reputation is potentially limited, it’s limited in a way that is reasonable and justifiable and supported by legislation</w:t>
            </w:r>
            <w:r w:rsidR="004F1A43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66080B" w:rsidRPr="00BD3C7E" w14:paraId="1582E21B" w14:textId="77777777" w:rsidTr="000556D6">
        <w:trPr>
          <w:trHeight w:val="12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3F7" w14:textId="49A1F19F" w:rsidR="0066080B" w:rsidRPr="0066080B" w:rsidRDefault="00DB52DC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S.26 Protection of families and children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59C" w14:textId="5C117BCD" w:rsidR="00551FE6" w:rsidRPr="00551FE6" w:rsidRDefault="00EF300E" w:rsidP="00551FE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An exemption from compulsory schooling and compulsory participation</w:t>
            </w:r>
            <w:r w:rsidR="00551FE6" w:rsidRPr="00551FE6">
              <w:rPr>
                <w:rFonts w:ascii="Arial" w:hAnsi="Arial" w:cs="Arial"/>
                <w:iCs/>
                <w:sz w:val="20"/>
                <w:szCs w:val="20"/>
              </w:rPr>
              <w:t xml:space="preserve"> promotes the right to protection of families and children. </w:t>
            </w:r>
          </w:p>
          <w:p w14:paraId="6CC77631" w14:textId="77777777" w:rsidR="00EF300E" w:rsidRDefault="00EF300E" w:rsidP="00551FE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EA891BF" w14:textId="2D2C66F7" w:rsidR="0066080B" w:rsidRDefault="00AD11D4" w:rsidP="00551FE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Parents</w:t>
            </w:r>
            <w:r w:rsidR="007C28A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are required to complete and sign the </w:t>
            </w:r>
            <w:r w:rsidR="007C28AE">
              <w:rPr>
                <w:rFonts w:ascii="Arial" w:hAnsi="Arial" w:cs="Arial"/>
                <w:iCs/>
                <w:sz w:val="20"/>
                <w:szCs w:val="20"/>
              </w:rPr>
              <w:t xml:space="preserve">relevant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application form if they are seeking an exemption.</w:t>
            </w:r>
            <w:r w:rsidR="00BE480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C28AE">
              <w:rPr>
                <w:rFonts w:ascii="Arial" w:hAnsi="Arial" w:cs="Arial"/>
                <w:iCs/>
                <w:sz w:val="20"/>
                <w:szCs w:val="20"/>
              </w:rPr>
              <w:t xml:space="preserve">This ensures </w:t>
            </w:r>
            <w:r w:rsidR="00B26859">
              <w:rPr>
                <w:rFonts w:ascii="Arial" w:hAnsi="Arial" w:cs="Arial"/>
                <w:iCs/>
                <w:sz w:val="20"/>
                <w:szCs w:val="20"/>
              </w:rPr>
              <w:t>parent involvement in this</w:t>
            </w:r>
            <w:r w:rsidR="007C28A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7216E">
              <w:rPr>
                <w:rFonts w:ascii="Arial" w:hAnsi="Arial" w:cs="Arial"/>
                <w:iCs/>
                <w:sz w:val="20"/>
                <w:szCs w:val="20"/>
              </w:rPr>
              <w:t>aspect of</w:t>
            </w:r>
            <w:r w:rsidR="00E11323">
              <w:rPr>
                <w:rFonts w:ascii="Arial" w:hAnsi="Arial" w:cs="Arial"/>
                <w:iCs/>
                <w:sz w:val="20"/>
                <w:szCs w:val="20"/>
              </w:rPr>
              <w:t xml:space="preserve"> the</w:t>
            </w:r>
            <w:r w:rsidR="0057216E">
              <w:rPr>
                <w:rFonts w:ascii="Arial" w:hAnsi="Arial" w:cs="Arial"/>
                <w:iCs/>
                <w:sz w:val="20"/>
                <w:szCs w:val="20"/>
              </w:rPr>
              <w:t>ir</w:t>
            </w:r>
            <w:r w:rsidR="00E11323">
              <w:rPr>
                <w:rFonts w:ascii="Arial" w:hAnsi="Arial" w:cs="Arial"/>
                <w:iCs/>
                <w:sz w:val="20"/>
                <w:szCs w:val="20"/>
              </w:rPr>
              <w:t xml:space="preserve"> child’s education</w:t>
            </w:r>
            <w:r w:rsidR="00B26859"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proofErr w:type="gramStart"/>
            <w:r w:rsidR="00B26859">
              <w:rPr>
                <w:rFonts w:ascii="Arial" w:hAnsi="Arial" w:cs="Arial"/>
                <w:iCs/>
                <w:sz w:val="20"/>
                <w:szCs w:val="20"/>
              </w:rPr>
              <w:t>e.g.</w:t>
            </w:r>
            <w:proofErr w:type="gramEnd"/>
            <w:r w:rsidR="00B26859">
              <w:rPr>
                <w:rFonts w:ascii="Arial" w:hAnsi="Arial" w:cs="Arial"/>
                <w:iCs/>
                <w:sz w:val="20"/>
                <w:szCs w:val="20"/>
              </w:rPr>
              <w:t xml:space="preserve"> compulsory school-aged child cannot apply for an exemption from school themselves)</w:t>
            </w:r>
            <w:r w:rsidR="00E11323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7C28A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18B0CC25" w14:textId="13A2647E" w:rsidR="003B32AD" w:rsidRDefault="003B32AD" w:rsidP="00551FE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7F5E8F3" w14:textId="0E7819F8" w:rsidR="007C28AE" w:rsidRDefault="007C28AE" w:rsidP="00551FE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However, </w:t>
            </w:r>
            <w:r w:rsidR="00B26859">
              <w:rPr>
                <w:rFonts w:ascii="Arial" w:hAnsi="Arial" w:cs="Arial"/>
                <w:iCs/>
                <w:sz w:val="20"/>
                <w:szCs w:val="20"/>
              </w:rPr>
              <w:t>if it would be inappropriate to require the parent’s signed consent (</w:t>
            </w:r>
            <w:proofErr w:type="gramStart"/>
            <w:r w:rsidR="00B26859">
              <w:rPr>
                <w:rFonts w:ascii="Arial" w:hAnsi="Arial" w:cs="Arial"/>
                <w:iCs/>
                <w:sz w:val="20"/>
                <w:szCs w:val="20"/>
              </w:rPr>
              <w:t>i.e.</w:t>
            </w:r>
            <w:proofErr w:type="gramEnd"/>
            <w:r w:rsidR="00B26859">
              <w:rPr>
                <w:rFonts w:ascii="Arial" w:hAnsi="Arial" w:cs="Arial"/>
                <w:iCs/>
                <w:sz w:val="20"/>
                <w:szCs w:val="20"/>
              </w:rPr>
              <w:t xml:space="preserve"> young person is living independently of their parent),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the young person would complete and sign the application for exemption</w:t>
            </w:r>
            <w:r w:rsidR="009D0C3F">
              <w:rPr>
                <w:rFonts w:ascii="Arial" w:hAnsi="Arial" w:cs="Arial"/>
                <w:iCs/>
                <w:sz w:val="20"/>
                <w:szCs w:val="20"/>
              </w:rPr>
              <w:t>, rather than the</w:t>
            </w:r>
            <w:r w:rsidR="00B26859">
              <w:rPr>
                <w:rFonts w:ascii="Arial" w:hAnsi="Arial" w:cs="Arial"/>
                <w:iCs/>
                <w:sz w:val="20"/>
                <w:szCs w:val="20"/>
              </w:rPr>
              <w:t>ir</w:t>
            </w:r>
            <w:r w:rsidR="009D0C3F">
              <w:rPr>
                <w:rFonts w:ascii="Arial" w:hAnsi="Arial" w:cs="Arial"/>
                <w:iCs/>
                <w:sz w:val="20"/>
                <w:szCs w:val="20"/>
              </w:rPr>
              <w:t xml:space="preserve"> parent</w:t>
            </w:r>
            <w:r w:rsidR="00B26859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0BE33738" w14:textId="26CA2999" w:rsidR="00E23A4A" w:rsidRDefault="00E23A4A" w:rsidP="00551FE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4AAACA6" w14:textId="79FCEC5F" w:rsidR="00E23A4A" w:rsidRDefault="009E07EE" w:rsidP="00551FE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An exemption may also promote th</w:t>
            </w:r>
            <w:r w:rsidR="00A4044C">
              <w:rPr>
                <w:rFonts w:ascii="Arial" w:hAnsi="Arial" w:cs="Arial"/>
                <w:iCs/>
                <w:sz w:val="20"/>
                <w:szCs w:val="20"/>
              </w:rPr>
              <w:t>is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right where the parent (or young person) has carer responsibilities for another family member or relative</w:t>
            </w:r>
            <w:r w:rsidR="00C7052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00C34891" w14:textId="77777777" w:rsidR="007C28AE" w:rsidRDefault="007C28AE" w:rsidP="00551FE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C46762D" w14:textId="20594BA3" w:rsidR="003B32AD" w:rsidRPr="0066080B" w:rsidRDefault="00A4044C" w:rsidP="00551FE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Where the child</w:t>
            </w:r>
            <w:r w:rsidR="00912E0A">
              <w:rPr>
                <w:rFonts w:ascii="Arial" w:hAnsi="Arial" w:cs="Arial"/>
                <w:iCs/>
                <w:sz w:val="20"/>
                <w:szCs w:val="20"/>
              </w:rPr>
              <w:t xml:space="preserve"> or young person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is ill or in hospital for an extended period of time, an exemption promotes the right to protection of families and children</w:t>
            </w:r>
            <w:r w:rsidR="00BD5D1B">
              <w:rPr>
                <w:rFonts w:ascii="Arial" w:hAnsi="Arial" w:cs="Arial"/>
                <w:iCs/>
                <w:sz w:val="20"/>
                <w:szCs w:val="20"/>
              </w:rPr>
              <w:t xml:space="preserve"> in relation to </w:t>
            </w:r>
            <w:r w:rsidR="00D2656A">
              <w:rPr>
                <w:rFonts w:ascii="Arial" w:hAnsi="Arial" w:cs="Arial"/>
                <w:iCs/>
                <w:sz w:val="20"/>
                <w:szCs w:val="20"/>
              </w:rPr>
              <w:t xml:space="preserve">the child’s </w:t>
            </w:r>
            <w:r w:rsidR="00BD5D1B">
              <w:rPr>
                <w:rFonts w:ascii="Arial" w:hAnsi="Arial" w:cs="Arial"/>
                <w:iCs/>
                <w:sz w:val="20"/>
                <w:szCs w:val="20"/>
              </w:rPr>
              <w:t>health and wellbeing.</w:t>
            </w:r>
            <w:r w:rsidR="002600CE">
              <w:rPr>
                <w:rFonts w:ascii="Arial" w:hAnsi="Arial" w:cs="Arial"/>
                <w:iCs/>
                <w:sz w:val="20"/>
                <w:szCs w:val="20"/>
              </w:rPr>
              <w:t xml:space="preserve"> An exemption will give the </w:t>
            </w:r>
            <w:r w:rsidR="00912E0A">
              <w:rPr>
                <w:rFonts w:ascii="Arial" w:hAnsi="Arial" w:cs="Arial"/>
                <w:iCs/>
                <w:sz w:val="20"/>
                <w:szCs w:val="20"/>
              </w:rPr>
              <w:t>parent of the child, or young person,</w:t>
            </w:r>
            <w:r w:rsidR="002600CE">
              <w:rPr>
                <w:rFonts w:ascii="Arial" w:hAnsi="Arial" w:cs="Arial"/>
                <w:iCs/>
                <w:sz w:val="20"/>
                <w:szCs w:val="20"/>
              </w:rPr>
              <w:t xml:space="preserve"> an opportunity to seek treatment if </w:t>
            </w:r>
            <w:r w:rsidR="002600CE">
              <w:rPr>
                <w:rFonts w:ascii="Arial" w:hAnsi="Arial" w:cs="Arial"/>
                <w:iCs/>
                <w:sz w:val="20"/>
                <w:szCs w:val="20"/>
              </w:rPr>
              <w:lastRenderedPageBreak/>
              <w:t>require</w:t>
            </w:r>
            <w:r w:rsidR="00787BEC">
              <w:rPr>
                <w:rFonts w:ascii="Arial" w:hAnsi="Arial" w:cs="Arial"/>
                <w:iCs/>
                <w:sz w:val="20"/>
                <w:szCs w:val="20"/>
              </w:rPr>
              <w:t xml:space="preserve">d </w:t>
            </w:r>
            <w:r w:rsidR="00D2656A">
              <w:rPr>
                <w:rFonts w:ascii="Arial" w:hAnsi="Arial" w:cs="Arial"/>
                <w:iCs/>
                <w:sz w:val="20"/>
                <w:szCs w:val="20"/>
              </w:rPr>
              <w:t xml:space="preserve">and/or </w:t>
            </w:r>
            <w:r w:rsidR="003A7EC6">
              <w:rPr>
                <w:rFonts w:ascii="Arial" w:hAnsi="Arial" w:cs="Arial"/>
                <w:iCs/>
                <w:sz w:val="20"/>
                <w:szCs w:val="20"/>
              </w:rPr>
              <w:t xml:space="preserve">to </w:t>
            </w:r>
            <w:r w:rsidR="00787BEC">
              <w:rPr>
                <w:rFonts w:ascii="Arial" w:hAnsi="Arial" w:cs="Arial"/>
                <w:iCs/>
                <w:sz w:val="20"/>
                <w:szCs w:val="20"/>
              </w:rPr>
              <w:t>recover at home so that the child or young person is able to return to school or participate in an eligible option.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852" w14:textId="22214E2A" w:rsidR="0066080B" w:rsidRPr="0066080B" w:rsidRDefault="00551FE6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No limitations have been identified.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7EB" w14:textId="77777777" w:rsidR="00551FE6" w:rsidRPr="00551FE6" w:rsidRDefault="00551FE6" w:rsidP="00551FE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1FE6">
              <w:rPr>
                <w:rFonts w:ascii="Arial" w:hAnsi="Arial" w:cs="Arial"/>
                <w:iCs/>
                <w:sz w:val="20"/>
                <w:szCs w:val="20"/>
              </w:rPr>
              <w:t>The decision is compatible with human rights. The right to protection of families and children is promoted by this decision.</w:t>
            </w:r>
          </w:p>
          <w:p w14:paraId="4EEA81D0" w14:textId="77777777" w:rsidR="0066080B" w:rsidRPr="0066080B" w:rsidRDefault="0066080B" w:rsidP="00C35F9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B52DC" w:rsidRPr="00BD3C7E" w14:paraId="1958A9D4" w14:textId="77777777" w:rsidTr="00467A65">
        <w:trPr>
          <w:trHeight w:val="6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4C1" w14:textId="2BF0500E" w:rsidR="00DB52DC" w:rsidRDefault="001F272A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S.36 Right to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484" w14:textId="5D862308" w:rsidR="00DB52DC" w:rsidRPr="0066080B" w:rsidRDefault="006A2065" w:rsidP="006A663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The right to education is potentially limited by </w:t>
            </w:r>
            <w:r w:rsidR="003A7EC6">
              <w:rPr>
                <w:rFonts w:ascii="Arial" w:hAnsi="Arial" w:cs="Arial"/>
                <w:iCs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iCs/>
                <w:sz w:val="20"/>
                <w:szCs w:val="20"/>
              </w:rPr>
              <w:t>exemption from compulsory schooling and compulsory participation.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18F7" w14:textId="77777777" w:rsidR="00DB52DC" w:rsidRDefault="006A2065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A2065">
              <w:rPr>
                <w:rFonts w:ascii="Arial" w:hAnsi="Arial" w:cs="Arial"/>
                <w:iCs/>
                <w:sz w:val="20"/>
                <w:szCs w:val="20"/>
              </w:rPr>
              <w:t>Each parent of a child who is of compulsory school age has the legal obligation to ensure their child is enrolled and attends a school, on every school day for the educational program in which the child is enrolled, unless the parent has a reasonable excuse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(s.176 of the EGPA).</w:t>
            </w:r>
          </w:p>
          <w:p w14:paraId="5AC11501" w14:textId="77777777" w:rsidR="006A2065" w:rsidRDefault="006A2065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6A7FCC3" w14:textId="08CC0953" w:rsidR="006A2065" w:rsidRDefault="006A2065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A2065">
              <w:rPr>
                <w:rFonts w:ascii="Arial" w:hAnsi="Arial" w:cs="Arial"/>
                <w:iCs/>
                <w:sz w:val="20"/>
                <w:szCs w:val="20"/>
              </w:rPr>
              <w:t>Each parent of a young person in the compulsory participation phase has the legal obligation to ensure that the young person is participating full-time in an eligible option, unless the parent has a reasonable excuse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(s.239</w:t>
            </w:r>
            <w:r w:rsidR="007E56FE">
              <w:rPr>
                <w:rFonts w:ascii="Arial" w:hAnsi="Arial" w:cs="Arial"/>
                <w:iCs/>
                <w:sz w:val="20"/>
                <w:szCs w:val="20"/>
              </w:rPr>
              <w:t xml:space="preserve"> of the EGPA</w:t>
            </w:r>
            <w:r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19BBFA04" w14:textId="77777777" w:rsidR="006A2065" w:rsidRDefault="006A2065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758A517" w14:textId="0D08DEC2" w:rsidR="0004715B" w:rsidRDefault="00103CD2" w:rsidP="0004715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When</w:t>
            </w:r>
            <w:r w:rsidRPr="00DB611D">
              <w:rPr>
                <w:rFonts w:ascii="Arial" w:hAnsi="Arial" w:cs="Arial"/>
                <w:iCs/>
                <w:sz w:val="20"/>
                <w:szCs w:val="20"/>
              </w:rPr>
              <w:t xml:space="preserve"> a child or a young person cannot attend school or participate in an eligible option </w:t>
            </w:r>
            <w:r w:rsidRPr="00DB611D">
              <w:rPr>
                <w:rFonts w:ascii="Arial" w:hAnsi="Arial" w:cs="Arial"/>
                <w:bCs/>
                <w:iCs/>
                <w:sz w:val="20"/>
                <w:szCs w:val="20"/>
              </w:rPr>
              <w:t>for a period of more than 10 consecutive school days</w:t>
            </w:r>
            <w:r w:rsidRPr="00DB611D">
              <w:rPr>
                <w:rFonts w:ascii="Arial" w:hAnsi="Arial" w:cs="Arial"/>
                <w:iCs/>
                <w:sz w:val="20"/>
                <w:szCs w:val="20"/>
              </w:rPr>
              <w:t>, or it would be unreasonable in all the circumstances to require them to do so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41A2D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04715B" w:rsidRPr="00DB611D">
              <w:rPr>
                <w:rFonts w:ascii="Arial" w:hAnsi="Arial" w:cs="Arial"/>
                <w:iCs/>
                <w:sz w:val="20"/>
                <w:szCs w:val="20"/>
              </w:rPr>
              <w:t>n exemption from compulsory schooling or the compulsory participation phase may be considered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04715B" w:rsidRPr="00DB611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4BF0FE4D" w14:textId="77777777" w:rsidR="0004715B" w:rsidRDefault="0004715B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F6F8D1A" w14:textId="72C87E1A" w:rsidR="0071315C" w:rsidRDefault="00DB02ED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An exemption excuses parents from their legal obligation</w:t>
            </w:r>
            <w:r w:rsidR="00D7549E">
              <w:rPr>
                <w:rFonts w:ascii="Arial" w:hAnsi="Arial" w:cs="Arial"/>
                <w:iCs/>
                <w:sz w:val="20"/>
                <w:szCs w:val="20"/>
              </w:rPr>
              <w:t>. As a result</w:t>
            </w:r>
            <w:r w:rsidR="00932530">
              <w:rPr>
                <w:rFonts w:ascii="Arial" w:hAnsi="Arial" w:cs="Arial"/>
                <w:iCs/>
                <w:sz w:val="20"/>
                <w:szCs w:val="20"/>
              </w:rPr>
              <w:t xml:space="preserve"> of this</w:t>
            </w:r>
            <w:r w:rsidR="00D7549E">
              <w:rPr>
                <w:rFonts w:ascii="Arial" w:hAnsi="Arial" w:cs="Arial"/>
                <w:iCs/>
                <w:sz w:val="20"/>
                <w:szCs w:val="20"/>
              </w:rPr>
              <w:t xml:space="preserve">, the child or young person </w:t>
            </w:r>
            <w:r w:rsidR="00166415">
              <w:rPr>
                <w:rFonts w:ascii="Arial" w:hAnsi="Arial" w:cs="Arial"/>
                <w:iCs/>
                <w:sz w:val="20"/>
                <w:szCs w:val="20"/>
              </w:rPr>
              <w:t xml:space="preserve">does </w:t>
            </w:r>
            <w:r w:rsidR="00D7549E">
              <w:rPr>
                <w:rFonts w:ascii="Arial" w:hAnsi="Arial" w:cs="Arial"/>
                <w:iCs/>
                <w:sz w:val="20"/>
                <w:szCs w:val="20"/>
              </w:rPr>
              <w:t>not receiv</w:t>
            </w:r>
            <w:r w:rsidR="006D099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D7549E">
              <w:rPr>
                <w:rFonts w:ascii="Arial" w:hAnsi="Arial" w:cs="Arial"/>
                <w:iCs/>
                <w:sz w:val="20"/>
                <w:szCs w:val="20"/>
              </w:rPr>
              <w:t xml:space="preserve"> the education that they are entitled to</w:t>
            </w:r>
            <w:r w:rsidR="00A967A9">
              <w:rPr>
                <w:rFonts w:ascii="Arial" w:hAnsi="Arial" w:cs="Arial"/>
                <w:iCs/>
                <w:sz w:val="20"/>
                <w:szCs w:val="20"/>
              </w:rPr>
              <w:t xml:space="preserve"> during the exemption period</w:t>
            </w:r>
            <w:r w:rsidR="00D7549E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A967A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3A7CB983" w14:textId="5DE5B659" w:rsidR="00932530" w:rsidRDefault="00932530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091536A" w14:textId="759DE6E0" w:rsidR="00932530" w:rsidRDefault="00932530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It is acknowledged that there are circumstances where a child or young person is unable to attend school or participate full time in an eligible option, or it would be unreasonable </w:t>
            </w:r>
            <w:r w:rsidR="00EE1C5D">
              <w:rPr>
                <w:rFonts w:ascii="Arial" w:hAnsi="Arial" w:cs="Arial"/>
                <w:iCs/>
                <w:sz w:val="20"/>
                <w:szCs w:val="20"/>
              </w:rPr>
              <w:t xml:space="preserve">to require them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to do so. For instance, </w:t>
            </w:r>
            <w:r w:rsidR="00166415">
              <w:rPr>
                <w:rFonts w:ascii="Arial" w:hAnsi="Arial" w:cs="Arial"/>
                <w:iCs/>
                <w:sz w:val="20"/>
                <w:szCs w:val="20"/>
              </w:rPr>
              <w:t>when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E1C5D">
              <w:rPr>
                <w:rFonts w:ascii="Arial" w:hAnsi="Arial" w:cs="Arial"/>
                <w:iCs/>
                <w:sz w:val="20"/>
                <w:szCs w:val="20"/>
              </w:rPr>
              <w:t>they are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ill or ha</w:t>
            </w:r>
            <w:r w:rsidR="00EE1C5D">
              <w:rPr>
                <w:rFonts w:ascii="Arial" w:hAnsi="Arial" w:cs="Arial"/>
                <w:iCs/>
                <w:sz w:val="20"/>
                <w:szCs w:val="20"/>
              </w:rPr>
              <w:t>ve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E1C5D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iCs/>
                <w:sz w:val="20"/>
                <w:szCs w:val="20"/>
              </w:rPr>
              <w:t>diagnosed mental health condition</w:t>
            </w:r>
            <w:r w:rsidR="00D12065">
              <w:rPr>
                <w:rFonts w:ascii="Arial" w:hAnsi="Arial" w:cs="Arial"/>
                <w:iCs/>
                <w:sz w:val="20"/>
                <w:szCs w:val="20"/>
              </w:rPr>
              <w:t xml:space="preserve"> (and cannot access or participate in a hospital education program)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EE1C5D">
              <w:rPr>
                <w:rFonts w:ascii="Arial" w:hAnsi="Arial" w:cs="Arial"/>
                <w:iCs/>
                <w:sz w:val="20"/>
                <w:szCs w:val="20"/>
              </w:rPr>
              <w:t>or have temporarily relocated interstate or overseas with the intent on returning to Queensland.</w:t>
            </w:r>
            <w:r w:rsidR="00D55F3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37D8275D" w14:textId="77777777" w:rsidR="006D099D" w:rsidRDefault="006D099D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BC3600E" w14:textId="13DB4E74" w:rsidR="005243BA" w:rsidRDefault="0053294F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Easy access to an exemption by parents may impact on their child’s right to education. Therefore, </w:t>
            </w:r>
            <w:r w:rsidR="0019222B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="0019222B" w:rsidRPr="003431E3">
              <w:rPr>
                <w:rFonts w:ascii="Arial" w:hAnsi="Arial" w:cs="Arial"/>
                <w:i/>
                <w:sz w:val="20"/>
                <w:szCs w:val="20"/>
              </w:rPr>
              <w:t>Exem</w:t>
            </w:r>
            <w:r w:rsidR="0019222B">
              <w:rPr>
                <w:rFonts w:ascii="Arial" w:hAnsi="Arial" w:cs="Arial"/>
                <w:i/>
                <w:sz w:val="20"/>
                <w:szCs w:val="20"/>
              </w:rPr>
              <w:t>pt</w:t>
            </w:r>
            <w:r w:rsidR="0019222B" w:rsidRPr="003431E3">
              <w:rPr>
                <w:rFonts w:ascii="Arial" w:hAnsi="Arial" w:cs="Arial"/>
                <w:i/>
                <w:sz w:val="20"/>
                <w:szCs w:val="20"/>
              </w:rPr>
              <w:t>ions from compulsory schooling and compulsory participation</w:t>
            </w:r>
            <w:r w:rsidR="0019222B">
              <w:rPr>
                <w:rFonts w:ascii="Arial" w:hAnsi="Arial" w:cs="Arial"/>
                <w:iCs/>
                <w:sz w:val="20"/>
                <w:szCs w:val="20"/>
              </w:rPr>
              <w:t xml:space="preserve"> procedure specifies reasons where an exemption is not </w:t>
            </w:r>
            <w:r w:rsidR="0019222B">
              <w:rPr>
                <w:rFonts w:ascii="Arial" w:hAnsi="Arial" w:cs="Arial"/>
                <w:iCs/>
                <w:sz w:val="20"/>
                <w:szCs w:val="20"/>
              </w:rPr>
              <w:lastRenderedPageBreak/>
              <w:t>appropriate</w:t>
            </w:r>
            <w:r w:rsidR="00D75F4D"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proofErr w:type="gramStart"/>
            <w:r w:rsidR="00D75F4D">
              <w:rPr>
                <w:rFonts w:ascii="Arial" w:hAnsi="Arial" w:cs="Arial"/>
                <w:iCs/>
                <w:sz w:val="20"/>
                <w:szCs w:val="20"/>
              </w:rPr>
              <w:t>e.g.</w:t>
            </w:r>
            <w:proofErr w:type="gramEnd"/>
            <w:r w:rsidR="00D75F4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608DD" w:rsidRPr="007608DD">
              <w:rPr>
                <w:rFonts w:ascii="Arial" w:hAnsi="Arial" w:cs="Arial"/>
                <w:iCs/>
                <w:sz w:val="20"/>
                <w:szCs w:val="20"/>
              </w:rPr>
              <w:t xml:space="preserve">where the absence is recognised as a reasonable excuse in accordance with the </w:t>
            </w:r>
            <w:r w:rsidR="007608DD" w:rsidRPr="007608DD">
              <w:rPr>
                <w:rFonts w:ascii="Arial" w:hAnsi="Arial" w:cs="Arial"/>
                <w:i/>
                <w:sz w:val="20"/>
                <w:szCs w:val="20"/>
              </w:rPr>
              <w:t>Roll marking in state schools</w:t>
            </w:r>
            <w:r w:rsidR="007608DD" w:rsidRPr="007608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608DD" w:rsidRPr="007608DD">
              <w:rPr>
                <w:rFonts w:ascii="Arial" w:hAnsi="Arial" w:cs="Arial"/>
                <w:iCs/>
                <w:sz w:val="20"/>
                <w:szCs w:val="20"/>
              </w:rPr>
              <w:t>procedure</w:t>
            </w:r>
            <w:r w:rsidR="007608DD">
              <w:rPr>
                <w:rFonts w:ascii="Arial" w:hAnsi="Arial" w:cs="Arial"/>
                <w:iCs/>
                <w:sz w:val="20"/>
                <w:szCs w:val="20"/>
              </w:rPr>
              <w:t>, reluctance to attend school, and employment (for compulsory school-aged child)).</w:t>
            </w:r>
          </w:p>
          <w:p w14:paraId="7306BD81" w14:textId="64A0E616" w:rsidR="006D099D" w:rsidRDefault="006D099D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7B7951B" w14:textId="33DAAB8A" w:rsidR="006D099D" w:rsidRDefault="007F511F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Further, w</w:t>
            </w:r>
            <w:r w:rsidR="006D099D">
              <w:rPr>
                <w:rFonts w:ascii="Arial" w:hAnsi="Arial" w:cs="Arial"/>
                <w:iCs/>
                <w:sz w:val="20"/>
                <w:szCs w:val="20"/>
              </w:rPr>
              <w:t xml:space="preserve">hile </w:t>
            </w:r>
            <w:r w:rsidR="006D099D" w:rsidRPr="006D099D">
              <w:rPr>
                <w:rFonts w:ascii="Arial" w:hAnsi="Arial" w:cs="Arial"/>
                <w:iCs/>
                <w:sz w:val="20"/>
                <w:szCs w:val="20"/>
              </w:rPr>
              <w:t xml:space="preserve">there is no maximum period that an exemption can be applied </w:t>
            </w:r>
            <w:r w:rsidR="00A023C3">
              <w:rPr>
                <w:rFonts w:ascii="Arial" w:hAnsi="Arial" w:cs="Arial"/>
                <w:iCs/>
                <w:sz w:val="20"/>
                <w:szCs w:val="20"/>
              </w:rPr>
              <w:t xml:space="preserve">or granted </w:t>
            </w:r>
            <w:r w:rsidR="006D099D" w:rsidRPr="006D099D">
              <w:rPr>
                <w:rFonts w:ascii="Arial" w:hAnsi="Arial" w:cs="Arial"/>
                <w:iCs/>
                <w:sz w:val="20"/>
                <w:szCs w:val="20"/>
              </w:rPr>
              <w:t>for</w:t>
            </w:r>
            <w:r w:rsidR="006D099D">
              <w:rPr>
                <w:rFonts w:ascii="Arial" w:hAnsi="Arial" w:cs="Arial"/>
                <w:iCs/>
                <w:sz w:val="20"/>
                <w:szCs w:val="20"/>
              </w:rPr>
              <w:t>, the EGPA provides that an exemption may be:</w:t>
            </w:r>
          </w:p>
          <w:p w14:paraId="7CD05D88" w14:textId="21BEA41E" w:rsidR="006D099D" w:rsidRPr="006D099D" w:rsidRDefault="006D099D" w:rsidP="006D099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Arial"/>
                <w:iCs/>
                <w:sz w:val="20"/>
                <w:szCs w:val="20"/>
              </w:rPr>
            </w:pPr>
            <w:r w:rsidRPr="006D099D">
              <w:rPr>
                <w:rFonts w:cs="Arial"/>
                <w:iCs/>
                <w:sz w:val="20"/>
                <w:szCs w:val="20"/>
              </w:rPr>
              <w:t>granted with conditions</w:t>
            </w:r>
            <w:r>
              <w:rPr>
                <w:rFonts w:cs="Arial"/>
                <w:iCs/>
                <w:sz w:val="20"/>
                <w:szCs w:val="20"/>
              </w:rPr>
              <w:t xml:space="preserve"> or </w:t>
            </w:r>
            <w:r w:rsidRPr="006D099D">
              <w:rPr>
                <w:rFonts w:cs="Arial"/>
                <w:iCs/>
                <w:sz w:val="20"/>
                <w:szCs w:val="20"/>
              </w:rPr>
              <w:t>for a lesser period than originally applied for; or</w:t>
            </w:r>
          </w:p>
          <w:p w14:paraId="0BA7CD4F" w14:textId="00382D46" w:rsidR="006D099D" w:rsidRPr="006D099D" w:rsidRDefault="006D099D" w:rsidP="006D099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cancelled (for compulsory schooling only)</w:t>
            </w:r>
            <w:r w:rsidRPr="006D099D">
              <w:rPr>
                <w:rFonts w:cs="Arial"/>
                <w:iCs/>
                <w:sz w:val="20"/>
                <w:szCs w:val="20"/>
              </w:rPr>
              <w:t>.</w:t>
            </w:r>
          </w:p>
          <w:p w14:paraId="57AC0BE8" w14:textId="77777777" w:rsidR="0071315C" w:rsidRDefault="0071315C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EA4529D" w14:textId="12D4B9EC" w:rsidR="00D75F4D" w:rsidRPr="00941A2D" w:rsidRDefault="009316AB" w:rsidP="00D75F4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D75F4D" w:rsidRPr="00941A2D">
              <w:rPr>
                <w:rFonts w:ascii="Arial" w:hAnsi="Arial" w:cs="Arial"/>
                <w:iCs/>
                <w:sz w:val="20"/>
                <w:szCs w:val="20"/>
              </w:rPr>
              <w:t xml:space="preserve">ll students attending Queensland state schools have an allocation of state education. This is the number of semesters of state education to which the student is entitled. </w:t>
            </w:r>
            <w:r w:rsidR="00D75F4D">
              <w:rPr>
                <w:rFonts w:ascii="Arial" w:hAnsi="Arial" w:cs="Arial"/>
                <w:iCs/>
                <w:sz w:val="20"/>
                <w:szCs w:val="20"/>
              </w:rPr>
              <w:t>S</w:t>
            </w:r>
            <w:proofErr w:type="spellStart"/>
            <w:r w:rsidR="00D75F4D" w:rsidRPr="00941A2D">
              <w:rPr>
                <w:rFonts w:ascii="Arial" w:hAnsi="Arial" w:cs="Arial"/>
                <w:iCs/>
                <w:sz w:val="20"/>
                <w:szCs w:val="20"/>
                <w:lang w:val="en-US"/>
              </w:rPr>
              <w:t>tudents</w:t>
            </w:r>
            <w:proofErr w:type="spellEnd"/>
            <w:r w:rsidR="00D75F4D" w:rsidRPr="00941A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who begin education in the </w:t>
            </w:r>
            <w:r w:rsidR="00D75F4D">
              <w:rPr>
                <w:rFonts w:ascii="Arial" w:hAnsi="Arial" w:cs="Arial"/>
                <w:iCs/>
                <w:sz w:val="20"/>
                <w:szCs w:val="20"/>
                <w:lang w:val="en-US"/>
              </w:rPr>
              <w:t>Prep year</w:t>
            </w:r>
            <w:r w:rsidR="00D75F4D" w:rsidRPr="00941A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at a state school before they turn six years and six months receive the basic allocation of 26 semesters</w:t>
            </w:r>
            <w:r w:rsidR="00D75F4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– which covers </w:t>
            </w:r>
            <w:r w:rsidR="00D75F4D" w:rsidRPr="00941A2D">
              <w:rPr>
                <w:rFonts w:ascii="Arial" w:hAnsi="Arial" w:cs="Arial"/>
                <w:iCs/>
                <w:sz w:val="20"/>
                <w:szCs w:val="20"/>
                <w:lang w:val="en-US"/>
              </w:rPr>
              <w:t>compulsory schooling and the compulsory participation phase</w:t>
            </w:r>
            <w:r w:rsidR="00D75F4D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  <w:p w14:paraId="51020D5A" w14:textId="77777777" w:rsidR="00D75F4D" w:rsidRDefault="00D75F4D" w:rsidP="00D75F4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0ECFCC" w14:textId="0C1515E5" w:rsidR="00D75F4D" w:rsidRDefault="00D75F4D" w:rsidP="00D75F4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F41FB">
              <w:rPr>
                <w:rFonts w:ascii="Arial" w:hAnsi="Arial" w:cs="Arial"/>
                <w:iCs/>
                <w:sz w:val="20"/>
                <w:szCs w:val="20"/>
              </w:rPr>
              <w:t xml:space="preserve">If a student has been granted an exemption from compulsory schooling or compulsory participation, and the student did not receive </w:t>
            </w:r>
            <w:r w:rsidR="00A023C3">
              <w:rPr>
                <w:rFonts w:ascii="Arial" w:hAnsi="Arial" w:cs="Arial"/>
                <w:iCs/>
                <w:sz w:val="20"/>
                <w:szCs w:val="20"/>
              </w:rPr>
              <w:t xml:space="preserve">an </w:t>
            </w:r>
            <w:r w:rsidRPr="005F41FB">
              <w:rPr>
                <w:rFonts w:ascii="Arial" w:hAnsi="Arial" w:cs="Arial"/>
                <w:iCs/>
                <w:sz w:val="20"/>
                <w:szCs w:val="20"/>
              </w:rPr>
              <w:t>education during that time from any educational provider, there will be no deduction in their remaining allocation of state education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3F2DDCEC" w14:textId="77777777" w:rsidR="00D75F4D" w:rsidRDefault="00D75F4D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1F90514" w14:textId="27D5F226" w:rsidR="005F41FB" w:rsidRPr="0066080B" w:rsidRDefault="005F41FB" w:rsidP="00CD026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F41FB">
              <w:rPr>
                <w:rFonts w:ascii="Arial" w:hAnsi="Arial" w:cs="Arial"/>
                <w:iCs/>
                <w:sz w:val="20"/>
                <w:szCs w:val="20"/>
              </w:rPr>
              <w:t>Where an application for exemption has not been made or has not been granted by the decision maker, if the child or young person is enrolled in a school, their absence from school will be recorded in accordance with the </w:t>
            </w:r>
            <w:r w:rsidRPr="005F41FB">
              <w:rPr>
                <w:rFonts w:ascii="Arial" w:hAnsi="Arial" w:cs="Arial"/>
                <w:i/>
                <w:sz w:val="20"/>
                <w:szCs w:val="20"/>
              </w:rPr>
              <w:t xml:space="preserve">Roll marking in state </w:t>
            </w:r>
            <w:proofErr w:type="gramStart"/>
            <w:r w:rsidRPr="005F41FB">
              <w:rPr>
                <w:rFonts w:ascii="Arial" w:hAnsi="Arial" w:cs="Arial"/>
                <w:i/>
                <w:sz w:val="20"/>
                <w:szCs w:val="20"/>
              </w:rPr>
              <w:t>schools</w:t>
            </w:r>
            <w:proofErr w:type="gramEnd"/>
            <w:r w:rsidRPr="005F41FB">
              <w:rPr>
                <w:rFonts w:ascii="Arial" w:hAnsi="Arial" w:cs="Arial"/>
                <w:iCs/>
                <w:sz w:val="20"/>
                <w:szCs w:val="20"/>
              </w:rPr>
              <w:t> procedure.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41C" w14:textId="2763DE17" w:rsidR="00DB52DC" w:rsidRPr="0066080B" w:rsidRDefault="009161D1" w:rsidP="00C35F9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161D1">
              <w:rPr>
                <w:rFonts w:ascii="Arial" w:hAnsi="Arial" w:cs="Arial"/>
                <w:iCs/>
                <w:sz w:val="20"/>
                <w:szCs w:val="20"/>
              </w:rPr>
              <w:lastRenderedPageBreak/>
              <w:t>The decision is compatible with human rights. While the right to education may be limited, it’s limited in a way that is reasonable and justifiable and supported by legislation</w:t>
            </w:r>
            <w:r w:rsidR="005219BA">
              <w:rPr>
                <w:rFonts w:ascii="Arial" w:hAnsi="Arial" w:cs="Arial"/>
                <w:iCs/>
                <w:sz w:val="20"/>
                <w:szCs w:val="20"/>
              </w:rPr>
              <w:t xml:space="preserve"> and Department of Education</w:t>
            </w:r>
            <w:r w:rsidR="005219BA" w:rsidRPr="009161D1">
              <w:rPr>
                <w:rFonts w:ascii="Arial" w:hAnsi="Arial" w:cs="Arial"/>
                <w:iCs/>
                <w:sz w:val="20"/>
                <w:szCs w:val="20"/>
              </w:rPr>
              <w:t xml:space="preserve"> policy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DB52DC" w:rsidRPr="00DB52DC" w14:paraId="630759CF" w14:textId="77777777" w:rsidTr="00CE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830" w:type="dxa"/>
            <w:tcBorders>
              <w:top w:val="single" w:sz="4" w:space="0" w:color="auto"/>
            </w:tcBorders>
          </w:tcPr>
          <w:p w14:paraId="1402ED5B" w14:textId="77777777" w:rsidR="00DB52DC" w:rsidRPr="00DB52DC" w:rsidRDefault="00DB52DC" w:rsidP="003B54B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B52DC">
              <w:rPr>
                <w:rFonts w:ascii="Arial" w:eastAsia="Calibri" w:hAnsi="Arial" w:cs="Arial"/>
                <w:color w:val="FF0000"/>
                <w:sz w:val="20"/>
                <w:szCs w:val="20"/>
              </w:rPr>
              <w:t>&lt;Insert any other human right that is engaged, otherwise delete row&gt;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F58789A" w14:textId="77777777" w:rsidR="00DB52DC" w:rsidRPr="00DB52DC" w:rsidRDefault="00DB52DC" w:rsidP="003B54B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B52DC">
              <w:rPr>
                <w:rFonts w:ascii="Arial" w:eastAsia="Calibri" w:hAnsi="Arial" w:cs="Arial"/>
                <w:color w:val="FF0000"/>
                <w:sz w:val="20"/>
                <w:szCs w:val="20"/>
              </w:rPr>
              <w:t>&lt;Insert related impact&gt;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10177CCC" w14:textId="77777777" w:rsidR="00DB52DC" w:rsidRPr="00DB52DC" w:rsidRDefault="00DB52DC" w:rsidP="003B54B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B52DC">
              <w:rPr>
                <w:rFonts w:ascii="Arial" w:eastAsia="Calibri" w:hAnsi="Arial" w:cs="Arial"/>
                <w:color w:val="FF0000"/>
                <w:sz w:val="20"/>
                <w:szCs w:val="20"/>
              </w:rPr>
              <w:t>&lt;Insert justification&gt;</w:t>
            </w: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701B5135" w14:textId="77777777" w:rsidR="00DB52DC" w:rsidRPr="00DB52DC" w:rsidRDefault="00DB52DC" w:rsidP="003B54B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B52DC">
              <w:rPr>
                <w:rFonts w:ascii="Arial" w:eastAsia="Calibri" w:hAnsi="Arial" w:cs="Arial"/>
                <w:color w:val="FF0000"/>
                <w:sz w:val="20"/>
                <w:szCs w:val="20"/>
              </w:rPr>
              <w:t>&lt;Insert related outcome&gt;</w:t>
            </w:r>
          </w:p>
        </w:tc>
      </w:tr>
    </w:tbl>
    <w:p w14:paraId="1DDFC5BC" w14:textId="238F388D" w:rsidR="00B85D8E" w:rsidRPr="004246AF" w:rsidRDefault="00B85D8E" w:rsidP="00FC4E3A">
      <w:pPr>
        <w:spacing w:before="80" w:after="80" w:line="240" w:lineRule="auto"/>
        <w:rPr>
          <w:rFonts w:ascii="Arial" w:hAnsi="Arial" w:cs="Arial"/>
          <w:b/>
          <w:color w:val="4F758B"/>
        </w:rPr>
      </w:pPr>
    </w:p>
    <w:tbl>
      <w:tblPr>
        <w:tblStyle w:val="TableGrid"/>
        <w:tblW w:w="148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6149"/>
        <w:gridCol w:w="1302"/>
        <w:gridCol w:w="5023"/>
      </w:tblGrid>
      <w:tr w:rsidR="00DB52DC" w:rsidRPr="00DB52DC" w14:paraId="573389C7" w14:textId="77777777" w:rsidTr="003B54B9">
        <w:trPr>
          <w:trHeight w:val="278"/>
        </w:trPr>
        <w:tc>
          <w:tcPr>
            <w:tcW w:w="2405" w:type="dxa"/>
            <w:shd w:val="clear" w:color="auto" w:fill="4F758B"/>
          </w:tcPr>
          <w:p w14:paraId="412AF5AA" w14:textId="77777777" w:rsidR="00DB52DC" w:rsidRPr="00DB52DC" w:rsidRDefault="00DB52DC" w:rsidP="00DB52DC">
            <w:pPr>
              <w:spacing w:after="120" w:line="260" w:lineRule="exact"/>
              <w:rPr>
                <w:rFonts w:ascii="Arial" w:eastAsia="Calibri" w:hAnsi="Arial" w:cs="Arial"/>
                <w:color w:val="FFFFFF"/>
                <w:sz w:val="20"/>
                <w:szCs w:val="20"/>
                <w:lang w:eastAsia="en-US"/>
              </w:rPr>
            </w:pPr>
            <w:r w:rsidRPr="00DB52DC">
              <w:rPr>
                <w:rFonts w:ascii="Arial" w:eastAsia="Calibri" w:hAnsi="Arial" w:cs="Arial"/>
                <w:color w:val="FFFFFF"/>
                <w:sz w:val="20"/>
                <w:szCs w:val="20"/>
                <w:lang w:eastAsia="en-US"/>
              </w:rPr>
              <w:t xml:space="preserve">Assessed by       </w:t>
            </w:r>
            <w:r w:rsidRPr="00DB52DC">
              <w:rPr>
                <w:rFonts w:ascii="Arial" w:eastAsia="Calibri" w:hAnsi="Arial" w:cs="Arial"/>
                <w:i/>
                <w:color w:val="FFFFFF"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12474" w:type="dxa"/>
            <w:gridSpan w:val="3"/>
          </w:tcPr>
          <w:p w14:paraId="281F635C" w14:textId="7FF3BDFC" w:rsidR="00DB52DC" w:rsidRPr="00DB52DC" w:rsidRDefault="00DB52DC" w:rsidP="00DB52DC">
            <w:pPr>
              <w:spacing w:after="120"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B52DC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&lt;Insert name of </w:t>
            </w:r>
            <w:r w:rsidR="004F7FEF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delegated officer &gt;</w:t>
            </w:r>
          </w:p>
        </w:tc>
      </w:tr>
      <w:tr w:rsidR="00DB52DC" w:rsidRPr="00DB52DC" w14:paraId="1059E382" w14:textId="77777777" w:rsidTr="003B54B9">
        <w:trPr>
          <w:trHeight w:val="565"/>
        </w:trPr>
        <w:tc>
          <w:tcPr>
            <w:tcW w:w="2405" w:type="dxa"/>
            <w:shd w:val="clear" w:color="auto" w:fill="4F758B"/>
          </w:tcPr>
          <w:p w14:paraId="6F396A76" w14:textId="77777777" w:rsidR="00DB52DC" w:rsidRPr="00DB52DC" w:rsidRDefault="00DB52DC" w:rsidP="00DB52DC">
            <w:pPr>
              <w:spacing w:after="120" w:line="260" w:lineRule="exact"/>
              <w:jc w:val="right"/>
              <w:rPr>
                <w:rFonts w:ascii="Arial" w:eastAsia="Calibri" w:hAnsi="Arial" w:cs="Arial"/>
                <w:i/>
                <w:color w:val="FFFFFF"/>
                <w:sz w:val="20"/>
                <w:szCs w:val="20"/>
                <w:lang w:eastAsia="en-US"/>
              </w:rPr>
            </w:pPr>
            <w:r w:rsidRPr="00DB52DC">
              <w:rPr>
                <w:rFonts w:ascii="Arial" w:eastAsia="Calibri" w:hAnsi="Arial" w:cs="Arial"/>
                <w:i/>
                <w:color w:val="FFFFFF"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6149" w:type="dxa"/>
          </w:tcPr>
          <w:p w14:paraId="08B6228A" w14:textId="71ADAC35" w:rsidR="00DB52DC" w:rsidRPr="00DB52DC" w:rsidRDefault="00DB52DC" w:rsidP="00DB52DC">
            <w:pPr>
              <w:spacing w:after="120"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B52DC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&lt;Insert </w:t>
            </w:r>
            <w:r w:rsidR="004F7FEF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position of delegated officer</w:t>
            </w:r>
            <w:r w:rsidRPr="00DB52DC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&gt;</w:t>
            </w:r>
          </w:p>
        </w:tc>
        <w:tc>
          <w:tcPr>
            <w:tcW w:w="1302" w:type="dxa"/>
            <w:shd w:val="clear" w:color="auto" w:fill="4F758B"/>
          </w:tcPr>
          <w:p w14:paraId="4E57AA60" w14:textId="77777777" w:rsidR="00DB52DC" w:rsidRPr="00DB52DC" w:rsidRDefault="00DB52DC" w:rsidP="00DB52DC">
            <w:pPr>
              <w:spacing w:after="120"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B52DC">
              <w:rPr>
                <w:rFonts w:ascii="Arial" w:eastAsia="Calibri" w:hAnsi="Arial" w:cs="Arial"/>
                <w:color w:val="FFFFFF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5023" w:type="dxa"/>
          </w:tcPr>
          <w:p w14:paraId="142FFF17" w14:textId="77777777" w:rsidR="00DB52DC" w:rsidRPr="00DB52DC" w:rsidRDefault="00DB52DC" w:rsidP="00DB52DC">
            <w:pPr>
              <w:spacing w:after="120"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B52DC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&lt;Insert date&gt;</w:t>
            </w:r>
          </w:p>
        </w:tc>
      </w:tr>
    </w:tbl>
    <w:p w14:paraId="6F19E488" w14:textId="77777777" w:rsidR="00DB52DC" w:rsidRDefault="00DB52DC" w:rsidP="00EF5EE7">
      <w:pPr>
        <w:pStyle w:val="PPRHRreviewheading"/>
        <w:rPr>
          <w:color w:val="4F758B"/>
          <w:sz w:val="32"/>
          <w:szCs w:val="32"/>
        </w:rPr>
      </w:pPr>
    </w:p>
    <w:sectPr w:rsidR="00DB52DC" w:rsidSect="0062038F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16" w:bottom="369" w:left="720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9F44" w14:textId="77777777" w:rsidR="00D87671" w:rsidRDefault="00D87671" w:rsidP="00AB5E1B">
      <w:pPr>
        <w:spacing w:after="0" w:line="240" w:lineRule="auto"/>
      </w:pPr>
      <w:r>
        <w:separator/>
      </w:r>
    </w:p>
  </w:endnote>
  <w:endnote w:type="continuationSeparator" w:id="0">
    <w:p w14:paraId="25F9ECAE" w14:textId="77777777" w:rsidR="00D87671" w:rsidRDefault="00D87671" w:rsidP="00AB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3E0C" w14:textId="77777777" w:rsidR="004E7D72" w:rsidRDefault="004E7D72" w:rsidP="004E7D72">
    <w:pPr>
      <w:pStyle w:val="Footer"/>
      <w:ind w:right="-7"/>
    </w:pPr>
    <w:r>
      <w:rPr>
        <w:noProof/>
        <w:lang w:eastAsia="zh-CN"/>
      </w:rPr>
      <w:drawing>
        <wp:anchor distT="0" distB="0" distL="114300" distR="114300" simplePos="0" relativeHeight="251668480" behindDoc="0" locked="0" layoutInCell="1" allowOverlap="1" wp14:anchorId="147EB857" wp14:editId="5C72A8A3">
          <wp:simplePos x="0" y="0"/>
          <wp:positionH relativeFrom="column">
            <wp:posOffset>8244282</wp:posOffset>
          </wp:positionH>
          <wp:positionV relativeFrom="paragraph">
            <wp:posOffset>-295383</wp:posOffset>
          </wp:positionV>
          <wp:extent cx="1574800" cy="292100"/>
          <wp:effectExtent l="0" t="0" r="0" b="0"/>
          <wp:wrapNone/>
          <wp:docPr id="82" name="Picture 8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39932 Human Rights Act_visual identity_mini HR logo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D6BA" w14:textId="77777777" w:rsidR="00EF5EE7" w:rsidRDefault="00EF5EE7" w:rsidP="008652FF">
    <w:pPr>
      <w:pStyle w:val="Footer"/>
      <w:rPr>
        <w:b/>
        <w:sz w:val="16"/>
        <w:szCs w:val="16"/>
      </w:rPr>
    </w:pPr>
  </w:p>
  <w:p w14:paraId="3896D63F" w14:textId="0D3A8593" w:rsidR="008652FF" w:rsidRDefault="008652FF" w:rsidP="008652FF">
    <w:pPr>
      <w:pStyle w:val="Footer"/>
      <w:rPr>
        <w:sz w:val="16"/>
        <w:szCs w:val="16"/>
      </w:rPr>
    </w:pPr>
    <w:r w:rsidRPr="00920DC3">
      <w:rPr>
        <w:noProof/>
        <w:sz w:val="16"/>
        <w:szCs w:val="16"/>
        <w:lang w:eastAsia="zh-CN"/>
      </w:rPr>
      <w:drawing>
        <wp:anchor distT="0" distB="0" distL="114300" distR="114300" simplePos="0" relativeHeight="251670528" behindDoc="1" locked="1" layoutInCell="1" allowOverlap="1" wp14:anchorId="3ECD28A8" wp14:editId="5F9D9A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0DC3">
      <w:rPr>
        <w:b/>
        <w:sz w:val="16"/>
        <w:szCs w:val="16"/>
      </w:rPr>
      <w:t xml:space="preserve">Uncontrolled copy. </w:t>
    </w:r>
    <w:r w:rsidRPr="00920DC3">
      <w:rPr>
        <w:sz w:val="16"/>
        <w:szCs w:val="16"/>
      </w:rPr>
      <w:t xml:space="preserve">Refer to the Department of Education Policy and Procedure Register at </w:t>
    </w:r>
  </w:p>
  <w:p w14:paraId="0DA5FDF1" w14:textId="77777777" w:rsidR="008652FF" w:rsidRDefault="00D55F33" w:rsidP="008652FF">
    <w:pPr>
      <w:pStyle w:val="Footer"/>
      <w:rPr>
        <w:sz w:val="16"/>
        <w:szCs w:val="16"/>
      </w:rPr>
    </w:pPr>
    <w:hyperlink r:id="rId2" w:history="1">
      <w:r w:rsidR="008652FF">
        <w:rPr>
          <w:rStyle w:val="Hyperlink"/>
          <w:sz w:val="16"/>
          <w:szCs w:val="16"/>
        </w:rPr>
        <w:t>https://ppr.qed.qld.gov.au/pp/exemptions-from-compulsory-schooling-and-compulsory-participation-procedure</w:t>
      </w:r>
    </w:hyperlink>
    <w:r w:rsidR="008652FF" w:rsidRPr="00920DC3">
      <w:rPr>
        <w:sz w:val="16"/>
        <w:szCs w:val="16"/>
      </w:rPr>
      <w:t xml:space="preserve"> </w:t>
    </w:r>
  </w:p>
  <w:p w14:paraId="340BABDE" w14:textId="77777777" w:rsidR="008652FF" w:rsidRPr="00920DC3" w:rsidRDefault="008652FF" w:rsidP="008652FF">
    <w:pPr>
      <w:pStyle w:val="Footer"/>
      <w:rPr>
        <w:sz w:val="16"/>
        <w:szCs w:val="16"/>
      </w:rPr>
    </w:pPr>
    <w:r w:rsidRPr="00920DC3">
      <w:rPr>
        <w:sz w:val="16"/>
        <w:szCs w:val="16"/>
      </w:rPr>
      <w:t>to ensure you have the most current version of this document.</w:t>
    </w:r>
    <w:r w:rsidRPr="00920DC3" w:rsidDel="00FC7A69">
      <w:rPr>
        <w:sz w:val="16"/>
        <w:szCs w:val="16"/>
      </w:rPr>
      <w:t xml:space="preserve"> </w:t>
    </w:r>
  </w:p>
  <w:p w14:paraId="1D3178A3" w14:textId="08AA28F3" w:rsidR="004E7D72" w:rsidRDefault="004E7D72">
    <w:pPr>
      <w:pStyle w:val="Footer"/>
    </w:pPr>
    <w:r>
      <w:rPr>
        <w:noProof/>
        <w:lang w:eastAsia="zh-CN"/>
      </w:rPr>
      <w:drawing>
        <wp:anchor distT="0" distB="0" distL="114300" distR="114300" simplePos="0" relativeHeight="251673600" behindDoc="1" locked="0" layoutInCell="1" allowOverlap="1" wp14:anchorId="12739C08" wp14:editId="52F94571">
          <wp:simplePos x="0" y="0"/>
          <wp:positionH relativeFrom="page">
            <wp:posOffset>22302</wp:posOffset>
          </wp:positionH>
          <wp:positionV relativeFrom="page">
            <wp:posOffset>6568068</wp:posOffset>
          </wp:positionV>
          <wp:extent cx="10648800" cy="968400"/>
          <wp:effectExtent l="0" t="0" r="0" b="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 A4 landscape generic foot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828A" w14:textId="77777777" w:rsidR="00D87671" w:rsidRDefault="00D87671" w:rsidP="00AB5E1B">
      <w:pPr>
        <w:spacing w:after="0" w:line="240" w:lineRule="auto"/>
      </w:pPr>
      <w:r>
        <w:separator/>
      </w:r>
    </w:p>
  </w:footnote>
  <w:footnote w:type="continuationSeparator" w:id="0">
    <w:p w14:paraId="73ACB10C" w14:textId="77777777" w:rsidR="00D87671" w:rsidRDefault="00D87671" w:rsidP="00AB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B80A" w14:textId="77777777" w:rsidR="00D41AB6" w:rsidRDefault="004E7D7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4384" behindDoc="1" locked="1" layoutInCell="1" allowOverlap="1" wp14:anchorId="6C2BBDFD" wp14:editId="65247FA1">
          <wp:simplePos x="0" y="0"/>
          <wp:positionH relativeFrom="page">
            <wp:posOffset>-33454</wp:posOffset>
          </wp:positionH>
          <wp:positionV relativeFrom="page">
            <wp:posOffset>0</wp:posOffset>
          </wp:positionV>
          <wp:extent cx="10691495" cy="503555"/>
          <wp:effectExtent l="0" t="0" r="1905" b="4445"/>
          <wp:wrapTight wrapText="bothSides">
            <wp:wrapPolygon edited="0">
              <wp:start x="0" y="0"/>
              <wp:lineTo x="0" y="21246"/>
              <wp:lineTo x="21578" y="21246"/>
              <wp:lineTo x="21578" y="0"/>
              <wp:lineTo x="0" y="0"/>
            </wp:wrapPolygon>
          </wp:wrapTight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AB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132E8" wp14:editId="144ACBF2">
              <wp:simplePos x="0" y="0"/>
              <wp:positionH relativeFrom="column">
                <wp:posOffset>-431321</wp:posOffset>
              </wp:positionH>
              <wp:positionV relativeFrom="paragraph">
                <wp:posOffset>-406077</wp:posOffset>
              </wp:positionV>
              <wp:extent cx="6880543" cy="551791"/>
              <wp:effectExtent l="0" t="0" r="0" b="1270"/>
              <wp:wrapNone/>
              <wp:docPr id="2" name="AutoShape 4" descr="https://intranet.qed.qld.gov.au/Services/CommunicationMarketing/forms/Documents/DoE-A4-landscape-corporate-head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80543" cy="551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3182B4F3" id="AutoShape 4" o:spid="_x0000_s1026" alt="https://intranet.qed.qld.gov.au/Services/CommunicationMarketing/forms/Documents/DoE-A4-landscape-corporate-header.jpg" style="position:absolute;margin-left:-33.95pt;margin-top:-31.95pt;width:541.8pt;height:4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" filled="f" stroked="f">
              <o:lock v:ext="edit" aspectratio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BEC2" w14:textId="3C521B3B" w:rsidR="006B4876" w:rsidRDefault="0002400B">
    <w:pPr>
      <w:pStyle w:val="Header"/>
    </w:pPr>
    <w:r>
      <w:rPr>
        <w:noProof/>
        <w:lang w:eastAsia="zh-CN"/>
      </w:rPr>
      <w:drawing>
        <wp:anchor distT="0" distB="0" distL="114300" distR="114300" simplePos="0" relativeHeight="251672576" behindDoc="1" locked="0" layoutInCell="1" allowOverlap="1" wp14:anchorId="34EB8BBD" wp14:editId="587031E1">
          <wp:simplePos x="0" y="0"/>
          <wp:positionH relativeFrom="margin">
            <wp:posOffset>-438150</wp:posOffset>
          </wp:positionH>
          <wp:positionV relativeFrom="paragraph">
            <wp:posOffset>0</wp:posOffset>
          </wp:positionV>
          <wp:extent cx="10692000" cy="953508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9932 Human Rights Act_visual identity_A4 landscape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953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A7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E5C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D92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85697"/>
    <w:multiLevelType w:val="hybridMultilevel"/>
    <w:tmpl w:val="4FEECC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22A8"/>
    <w:multiLevelType w:val="hybridMultilevel"/>
    <w:tmpl w:val="96F49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F75"/>
    <w:multiLevelType w:val="hybridMultilevel"/>
    <w:tmpl w:val="13E6D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4CD7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C515C"/>
    <w:multiLevelType w:val="hybridMultilevel"/>
    <w:tmpl w:val="F508E8A0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B1DA5"/>
    <w:multiLevelType w:val="hybridMultilevel"/>
    <w:tmpl w:val="D3FE72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5017"/>
    <w:multiLevelType w:val="hybridMultilevel"/>
    <w:tmpl w:val="7DEA0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6294"/>
    <w:multiLevelType w:val="hybridMultilevel"/>
    <w:tmpl w:val="2C80B000"/>
    <w:lvl w:ilvl="0" w:tplc="6AD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0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65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E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A9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C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27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0B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842AC1"/>
    <w:multiLevelType w:val="hybridMultilevel"/>
    <w:tmpl w:val="B9020BD8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C52E4"/>
    <w:multiLevelType w:val="hybridMultilevel"/>
    <w:tmpl w:val="0004D5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57930"/>
    <w:multiLevelType w:val="hybridMultilevel"/>
    <w:tmpl w:val="D1BA84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E7528B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75E3"/>
    <w:multiLevelType w:val="hybridMultilevel"/>
    <w:tmpl w:val="88FCA0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A6A84"/>
    <w:multiLevelType w:val="hybridMultilevel"/>
    <w:tmpl w:val="0D305A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66D7A"/>
    <w:multiLevelType w:val="hybridMultilevel"/>
    <w:tmpl w:val="46BCE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347858"/>
    <w:multiLevelType w:val="hybridMultilevel"/>
    <w:tmpl w:val="55866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D45D9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20"/>
  </w:num>
  <w:num w:numId="7">
    <w:abstractNumId w:val="15"/>
  </w:num>
  <w:num w:numId="8">
    <w:abstractNumId w:val="12"/>
  </w:num>
  <w:num w:numId="9">
    <w:abstractNumId w:val="8"/>
  </w:num>
  <w:num w:numId="10">
    <w:abstractNumId w:val="10"/>
  </w:num>
  <w:num w:numId="11">
    <w:abstractNumId w:val="16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13"/>
  </w:num>
  <w:num w:numId="17">
    <w:abstractNumId w:val="19"/>
  </w:num>
  <w:num w:numId="18">
    <w:abstractNumId w:val="14"/>
  </w:num>
  <w:num w:numId="19">
    <w:abstractNumId w:val="6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C0"/>
    <w:rsid w:val="00002399"/>
    <w:rsid w:val="0000432D"/>
    <w:rsid w:val="0002400B"/>
    <w:rsid w:val="0002402C"/>
    <w:rsid w:val="00027E4C"/>
    <w:rsid w:val="00041220"/>
    <w:rsid w:val="000457C5"/>
    <w:rsid w:val="0004715B"/>
    <w:rsid w:val="000556D6"/>
    <w:rsid w:val="00063668"/>
    <w:rsid w:val="00065DC3"/>
    <w:rsid w:val="00066D00"/>
    <w:rsid w:val="000715A0"/>
    <w:rsid w:val="000912AA"/>
    <w:rsid w:val="000A4BFD"/>
    <w:rsid w:val="000B52C1"/>
    <w:rsid w:val="000B67E5"/>
    <w:rsid w:val="000E7E37"/>
    <w:rsid w:val="000F2170"/>
    <w:rsid w:val="00103CD2"/>
    <w:rsid w:val="00110639"/>
    <w:rsid w:val="001348A8"/>
    <w:rsid w:val="00140BB7"/>
    <w:rsid w:val="0015720C"/>
    <w:rsid w:val="00166415"/>
    <w:rsid w:val="0018518B"/>
    <w:rsid w:val="001913B1"/>
    <w:rsid w:val="0019222B"/>
    <w:rsid w:val="001963FC"/>
    <w:rsid w:val="001B2EF3"/>
    <w:rsid w:val="001B7716"/>
    <w:rsid w:val="001C2E8C"/>
    <w:rsid w:val="001D6E9B"/>
    <w:rsid w:val="001E10FF"/>
    <w:rsid w:val="001F14E7"/>
    <w:rsid w:val="001F272A"/>
    <w:rsid w:val="0021695E"/>
    <w:rsid w:val="0021766F"/>
    <w:rsid w:val="002215F3"/>
    <w:rsid w:val="002228AA"/>
    <w:rsid w:val="0025322F"/>
    <w:rsid w:val="00253F9E"/>
    <w:rsid w:val="002600CE"/>
    <w:rsid w:val="0026439B"/>
    <w:rsid w:val="0027492C"/>
    <w:rsid w:val="00274F0F"/>
    <w:rsid w:val="002840E4"/>
    <w:rsid w:val="002B57A9"/>
    <w:rsid w:val="002C6332"/>
    <w:rsid w:val="00314C99"/>
    <w:rsid w:val="003248EF"/>
    <w:rsid w:val="00324CF6"/>
    <w:rsid w:val="003274AE"/>
    <w:rsid w:val="003431E3"/>
    <w:rsid w:val="00343493"/>
    <w:rsid w:val="00353FB1"/>
    <w:rsid w:val="0036636C"/>
    <w:rsid w:val="00371A89"/>
    <w:rsid w:val="00371C0E"/>
    <w:rsid w:val="00375BF1"/>
    <w:rsid w:val="00392547"/>
    <w:rsid w:val="003A0212"/>
    <w:rsid w:val="003A7EC6"/>
    <w:rsid w:val="003B32AD"/>
    <w:rsid w:val="003C0469"/>
    <w:rsid w:val="003D40F2"/>
    <w:rsid w:val="003F1B6E"/>
    <w:rsid w:val="0040500A"/>
    <w:rsid w:val="00421C5B"/>
    <w:rsid w:val="004246AF"/>
    <w:rsid w:val="00467A65"/>
    <w:rsid w:val="004721BD"/>
    <w:rsid w:val="004809F7"/>
    <w:rsid w:val="004862EF"/>
    <w:rsid w:val="004931D8"/>
    <w:rsid w:val="004B3B79"/>
    <w:rsid w:val="004C2942"/>
    <w:rsid w:val="004D64C8"/>
    <w:rsid w:val="004E7D72"/>
    <w:rsid w:val="004F1A43"/>
    <w:rsid w:val="004F24F0"/>
    <w:rsid w:val="004F7FEF"/>
    <w:rsid w:val="005020B9"/>
    <w:rsid w:val="005217A0"/>
    <w:rsid w:val="005219BA"/>
    <w:rsid w:val="00523E29"/>
    <w:rsid w:val="005243BA"/>
    <w:rsid w:val="0053294F"/>
    <w:rsid w:val="00540E0E"/>
    <w:rsid w:val="00541FB7"/>
    <w:rsid w:val="00551FE6"/>
    <w:rsid w:val="00553BE0"/>
    <w:rsid w:val="00560574"/>
    <w:rsid w:val="0056582D"/>
    <w:rsid w:val="0056700C"/>
    <w:rsid w:val="0057216E"/>
    <w:rsid w:val="00583513"/>
    <w:rsid w:val="005A568D"/>
    <w:rsid w:val="005B439A"/>
    <w:rsid w:val="005D4A13"/>
    <w:rsid w:val="005D4B7D"/>
    <w:rsid w:val="005F41FB"/>
    <w:rsid w:val="00614679"/>
    <w:rsid w:val="0062038F"/>
    <w:rsid w:val="006377BC"/>
    <w:rsid w:val="00650A73"/>
    <w:rsid w:val="0066080B"/>
    <w:rsid w:val="0066304C"/>
    <w:rsid w:val="006673BB"/>
    <w:rsid w:val="006767D5"/>
    <w:rsid w:val="006A2065"/>
    <w:rsid w:val="006A4739"/>
    <w:rsid w:val="006A663E"/>
    <w:rsid w:val="006A6B96"/>
    <w:rsid w:val="006B0A5C"/>
    <w:rsid w:val="006B4876"/>
    <w:rsid w:val="006D099D"/>
    <w:rsid w:val="006E776E"/>
    <w:rsid w:val="0071315C"/>
    <w:rsid w:val="0071487C"/>
    <w:rsid w:val="0074315F"/>
    <w:rsid w:val="00743A74"/>
    <w:rsid w:val="00752776"/>
    <w:rsid w:val="007608DD"/>
    <w:rsid w:val="00771B51"/>
    <w:rsid w:val="00785127"/>
    <w:rsid w:val="00787BEC"/>
    <w:rsid w:val="007C28AE"/>
    <w:rsid w:val="007C5D49"/>
    <w:rsid w:val="007D14D8"/>
    <w:rsid w:val="007E56FE"/>
    <w:rsid w:val="007E6255"/>
    <w:rsid w:val="007F511F"/>
    <w:rsid w:val="008018A9"/>
    <w:rsid w:val="008059D0"/>
    <w:rsid w:val="0082054D"/>
    <w:rsid w:val="008314AE"/>
    <w:rsid w:val="00855282"/>
    <w:rsid w:val="00856A18"/>
    <w:rsid w:val="008652FF"/>
    <w:rsid w:val="00873004"/>
    <w:rsid w:val="00897BBB"/>
    <w:rsid w:val="008A35D3"/>
    <w:rsid w:val="008B030F"/>
    <w:rsid w:val="008B28F7"/>
    <w:rsid w:val="008C7E5F"/>
    <w:rsid w:val="008D6A39"/>
    <w:rsid w:val="008F54EB"/>
    <w:rsid w:val="0090022E"/>
    <w:rsid w:val="00910510"/>
    <w:rsid w:val="00911D15"/>
    <w:rsid w:val="00912E0A"/>
    <w:rsid w:val="009161D1"/>
    <w:rsid w:val="00916AD2"/>
    <w:rsid w:val="009316AB"/>
    <w:rsid w:val="00932530"/>
    <w:rsid w:val="00935D30"/>
    <w:rsid w:val="00941A2D"/>
    <w:rsid w:val="00946C68"/>
    <w:rsid w:val="00947FBE"/>
    <w:rsid w:val="0095143F"/>
    <w:rsid w:val="00955BCF"/>
    <w:rsid w:val="009A1FCB"/>
    <w:rsid w:val="009C3052"/>
    <w:rsid w:val="009D0C3F"/>
    <w:rsid w:val="009D5083"/>
    <w:rsid w:val="009D532A"/>
    <w:rsid w:val="009E07EE"/>
    <w:rsid w:val="00A0051E"/>
    <w:rsid w:val="00A023C3"/>
    <w:rsid w:val="00A071C6"/>
    <w:rsid w:val="00A16D0E"/>
    <w:rsid w:val="00A23B23"/>
    <w:rsid w:val="00A30994"/>
    <w:rsid w:val="00A31A48"/>
    <w:rsid w:val="00A36EAB"/>
    <w:rsid w:val="00A4044C"/>
    <w:rsid w:val="00A523D0"/>
    <w:rsid w:val="00A961EC"/>
    <w:rsid w:val="00A967A9"/>
    <w:rsid w:val="00A97083"/>
    <w:rsid w:val="00AB554A"/>
    <w:rsid w:val="00AB5E1B"/>
    <w:rsid w:val="00AC1E61"/>
    <w:rsid w:val="00AC3B7F"/>
    <w:rsid w:val="00AC7558"/>
    <w:rsid w:val="00AD04E0"/>
    <w:rsid w:val="00AD11D4"/>
    <w:rsid w:val="00AD1933"/>
    <w:rsid w:val="00AD26FB"/>
    <w:rsid w:val="00AF0FAF"/>
    <w:rsid w:val="00AF2DD0"/>
    <w:rsid w:val="00AF5BEF"/>
    <w:rsid w:val="00B06A92"/>
    <w:rsid w:val="00B14698"/>
    <w:rsid w:val="00B26859"/>
    <w:rsid w:val="00B37419"/>
    <w:rsid w:val="00B45B14"/>
    <w:rsid w:val="00B82227"/>
    <w:rsid w:val="00B85D8E"/>
    <w:rsid w:val="00B93AE8"/>
    <w:rsid w:val="00BA35A6"/>
    <w:rsid w:val="00BB15B7"/>
    <w:rsid w:val="00BC221F"/>
    <w:rsid w:val="00BD3C7E"/>
    <w:rsid w:val="00BD5D1B"/>
    <w:rsid w:val="00BE0C77"/>
    <w:rsid w:val="00BE4802"/>
    <w:rsid w:val="00BE48A5"/>
    <w:rsid w:val="00BE6598"/>
    <w:rsid w:val="00C00B85"/>
    <w:rsid w:val="00C15724"/>
    <w:rsid w:val="00C15B6E"/>
    <w:rsid w:val="00C24146"/>
    <w:rsid w:val="00C30AA0"/>
    <w:rsid w:val="00C310B3"/>
    <w:rsid w:val="00C35F97"/>
    <w:rsid w:val="00C37822"/>
    <w:rsid w:val="00C57204"/>
    <w:rsid w:val="00C70526"/>
    <w:rsid w:val="00C7765D"/>
    <w:rsid w:val="00C86809"/>
    <w:rsid w:val="00CA2757"/>
    <w:rsid w:val="00CB7501"/>
    <w:rsid w:val="00CD026A"/>
    <w:rsid w:val="00CE28B9"/>
    <w:rsid w:val="00CE65B9"/>
    <w:rsid w:val="00D02C8C"/>
    <w:rsid w:val="00D06FA7"/>
    <w:rsid w:val="00D12065"/>
    <w:rsid w:val="00D13B08"/>
    <w:rsid w:val="00D2656A"/>
    <w:rsid w:val="00D32029"/>
    <w:rsid w:val="00D348BE"/>
    <w:rsid w:val="00D41AB6"/>
    <w:rsid w:val="00D55F33"/>
    <w:rsid w:val="00D7428C"/>
    <w:rsid w:val="00D7549E"/>
    <w:rsid w:val="00D75F4D"/>
    <w:rsid w:val="00D87671"/>
    <w:rsid w:val="00DB02ED"/>
    <w:rsid w:val="00DB22A9"/>
    <w:rsid w:val="00DB52DC"/>
    <w:rsid w:val="00DB5454"/>
    <w:rsid w:val="00DB611D"/>
    <w:rsid w:val="00DB7875"/>
    <w:rsid w:val="00DC7A97"/>
    <w:rsid w:val="00DD706F"/>
    <w:rsid w:val="00DD7A3D"/>
    <w:rsid w:val="00DE6C64"/>
    <w:rsid w:val="00E11323"/>
    <w:rsid w:val="00E15467"/>
    <w:rsid w:val="00E23A4A"/>
    <w:rsid w:val="00E46160"/>
    <w:rsid w:val="00E643C7"/>
    <w:rsid w:val="00E651D4"/>
    <w:rsid w:val="00E719C0"/>
    <w:rsid w:val="00E8008E"/>
    <w:rsid w:val="00EA7CE0"/>
    <w:rsid w:val="00EB561D"/>
    <w:rsid w:val="00EB5DB5"/>
    <w:rsid w:val="00EC52FE"/>
    <w:rsid w:val="00ED4855"/>
    <w:rsid w:val="00ED76CB"/>
    <w:rsid w:val="00EE1C5D"/>
    <w:rsid w:val="00EE7F83"/>
    <w:rsid w:val="00EF0D58"/>
    <w:rsid w:val="00EF300E"/>
    <w:rsid w:val="00EF5EE7"/>
    <w:rsid w:val="00F043F0"/>
    <w:rsid w:val="00F10930"/>
    <w:rsid w:val="00F14096"/>
    <w:rsid w:val="00F270F1"/>
    <w:rsid w:val="00F42E93"/>
    <w:rsid w:val="00F61353"/>
    <w:rsid w:val="00F61F97"/>
    <w:rsid w:val="00F64D3E"/>
    <w:rsid w:val="00F703D3"/>
    <w:rsid w:val="00F8399E"/>
    <w:rsid w:val="00F869F3"/>
    <w:rsid w:val="00FC4E3A"/>
    <w:rsid w:val="00FD7621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A96B16E"/>
  <w15:chartTrackingRefBased/>
  <w15:docId w15:val="{5A620D7F-BBC6-4820-B049-F53C0B1E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8059D0"/>
    <w:rPr>
      <w:rFonts w:ascii="Arial" w:hAnsi="Arial"/>
      <w:color w:val="954F72" w:themeColor="followedHyperlink"/>
      <w:sz w:val="20"/>
      <w:u w:val="single"/>
    </w:rPr>
  </w:style>
  <w:style w:type="character" w:styleId="Hyperlink">
    <w:name w:val="Hyperlink"/>
    <w:rsid w:val="008059D0"/>
    <w:rPr>
      <w:color w:val="0000FF"/>
      <w:u w:val="single"/>
    </w:rPr>
  </w:style>
  <w:style w:type="table" w:styleId="TableGrid">
    <w:name w:val="Table Grid"/>
    <w:basedOn w:val="TableNormal"/>
    <w:uiPriority w:val="39"/>
    <w:rsid w:val="00E7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E719C0"/>
    <w:pPr>
      <w:numPr>
        <w:numId w:val="1"/>
      </w:numPr>
      <w:tabs>
        <w:tab w:val="left" w:pos="2835"/>
      </w:tabs>
      <w:spacing w:after="120" w:line="360" w:lineRule="auto"/>
      <w:ind w:left="340" w:hanging="340"/>
    </w:pPr>
    <w:rPr>
      <w:rFonts w:ascii="Arial" w:eastAsiaTheme="minorHAnsi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1B"/>
  </w:style>
  <w:style w:type="paragraph" w:styleId="Footer">
    <w:name w:val="footer"/>
    <w:basedOn w:val="Normal"/>
    <w:link w:val="FooterChar"/>
    <w:unhideWhenUsed/>
    <w:rsid w:val="00AB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5E1B"/>
  </w:style>
  <w:style w:type="character" w:styleId="CommentReference">
    <w:name w:val="annotation reference"/>
    <w:basedOn w:val="DefaultParagraphFont"/>
    <w:uiPriority w:val="99"/>
    <w:semiHidden/>
    <w:unhideWhenUsed/>
    <w:rsid w:val="00AB5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5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54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46AF"/>
    <w:pPr>
      <w:spacing w:before="480" w:after="0" w:line="240" w:lineRule="auto"/>
      <w:contextualSpacing/>
    </w:pPr>
    <w:rPr>
      <w:rFonts w:ascii="Arial" w:eastAsiaTheme="majorEastAsia" w:hAnsi="Arial" w:cstheme="majorBidi"/>
      <w:color w:val="4F758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6AF"/>
    <w:rPr>
      <w:rFonts w:ascii="Arial" w:eastAsiaTheme="majorEastAsia" w:hAnsi="Arial" w:cstheme="majorBidi"/>
      <w:color w:val="4F758B"/>
      <w:spacing w:val="-10"/>
      <w:kern w:val="28"/>
      <w:sz w:val="48"/>
      <w:szCs w:val="56"/>
    </w:rPr>
  </w:style>
  <w:style w:type="paragraph" w:customStyle="1" w:styleId="PPRHRreviewheading">
    <w:name w:val="PPR HR review heading"/>
    <w:basedOn w:val="Normal"/>
    <w:qFormat/>
    <w:rsid w:val="00771B51"/>
    <w:pPr>
      <w:spacing w:line="240" w:lineRule="auto"/>
    </w:pPr>
    <w:rPr>
      <w:rFonts w:ascii="Arial" w:hAnsi="Arial" w:cs="Arial"/>
      <w:color w:val="000000" w:themeColor="text1"/>
      <w:sz w:val="36"/>
    </w:rPr>
  </w:style>
  <w:style w:type="paragraph" w:styleId="Revision">
    <w:name w:val="Revision"/>
    <w:hidden/>
    <w:uiPriority w:val="99"/>
    <w:semiHidden/>
    <w:rsid w:val="00DB22A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E65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6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s://ppr.mpe.qed.qld.gov.au/pp/exemptions-from-compulsory-schooling-and-compulsory-participation-procedure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GALLAGHER, Julie</DisplayName>
        <AccountId>35</AccountId>
        <AccountType/>
      </UserInfo>
    </PPContentApprover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SubmittedBy xmlns="16795be8-4374-4e44-895d-be6cdbab3e2c">
      <UserInfo>
        <DisplayName>GILLAM, Maddison</DisplayName>
        <AccountId>19895</AccountId>
        <AccountType/>
      </UserInfo>
    </PPSubmittedBy>
    <PPReferenceNumber xmlns="16795be8-4374-4e44-895d-be6cdbab3e2c" xsi:nil="true"/>
    <PPModeratedDate xmlns="16795be8-4374-4e44-895d-be6cdbab3e2c">2024-01-21T23:22:09+00:00</PPModeratedDate>
    <PPLastReviewedDate xmlns="16795be8-4374-4e44-895d-be6cdbab3e2c">2024-01-21T23:22:09+00:00</PPLastReviewedDate>
    <PPContentAuthor xmlns="16795be8-4374-4e44-895d-be6cdbab3e2c">
      <UserInfo>
        <DisplayName>xs-eip-iis-apppool</DisplayName>
        <AccountId>13747</AccountId>
        <AccountType/>
      </UserInfo>
    </PPContentAuthor>
    <PPContentOwner xmlns="16795be8-4374-4e44-895d-be6cdbab3e2c">
      <UserInfo>
        <DisplayName>GALLAGHER, Julie</DisplayName>
        <AccountId>35</AccountId>
        <AccountType/>
      </UserInfo>
    </PPContentOwner>
    <PPSubmittedDate xmlns="16795be8-4374-4e44-895d-be6cdbab3e2c">2024-01-21T22:51:31+00:00</PPSubmittedDate>
    <PPPublishedNotificationAddresses xmlns="16795be8-4374-4e44-895d-be6cdbab3e2c" xsi:nil="true"/>
    <PPReviewDate xmlns="16795be8-4374-4e44-895d-be6cdbab3e2c" xsi:nil="true"/>
    <PPRHPRMRecordNumber xmlns="http://schemas.microsoft.com/sharepoint/v3">23/848221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State Schools - Operations</PPRBranch>
    <PPRDescription xmlns="http://schemas.microsoft.com/sharepoint/v3">Human rights impact assessment: Exemptions from compulsory schooling and compulsory participation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School administration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2024-01-14T23:02:00+00:00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Louise Pellow, Manager</PPRContentAuthor>
    <PPRDecommissionedDate xmlns="http://schemas.microsoft.com/sharepoint/v3" xsi:nil="true"/>
    <PPRPrimarySubCategory xmlns="16795be8-4374-4e44-895d-be6cdbab3e2c">3</PPRPrimarySubCategory>
    <PPRContentOwner xmlns="http://schemas.microsoft.com/sharepoint/v3">DDG, State Schools</PPRContentOwner>
    <PPRNominatedApprovers xmlns="http://schemas.microsoft.com/sharepoint/v3">Director; ADG; ADG</PPRNominatedApprovers>
    <PPRHPRMRevisionNumber xmlns="http://schemas.microsoft.com/sharepoint/v3">1</PPRHPRMRevisionNumber>
    <PPRKeywords xmlns="http://schemas.microsoft.com/sharepoint/v3">attendance; student absences; student attendance; exemption from compulsory participation;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20/707017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255F877A-EF3F-4CBB-B1D1-CCE7901C2CDE}"/>
</file>

<file path=customXml/itemProps2.xml><?xml version="1.0" encoding="utf-8"?>
<ds:datastoreItem xmlns:ds="http://schemas.openxmlformats.org/officeDocument/2006/customXml" ds:itemID="{154320A4-77A1-40F4-BAFB-16E0F4FE799F}"/>
</file>

<file path=customXml/itemProps3.xml><?xml version="1.0" encoding="utf-8"?>
<ds:datastoreItem xmlns:ds="http://schemas.openxmlformats.org/officeDocument/2006/customXml" ds:itemID="{29C30600-A68D-4297-A063-E44A412C89F9}">
  <ds:schemaRefs>
    <ds:schemaRef ds:uri="163879fb-622b-44d7-a731-33e3b194bd22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Rights Assessment Table</vt:lpstr>
    </vt:vector>
  </TitlesOfParts>
  <Company>Queensland Government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rights impact assessment: Exemptions from compulsory schooling and compulsory participation</dc:title>
  <dc:subject>Human rights impact assessment: decision making</dc:subject>
  <dc:creator>Queensland Government</dc:creator>
  <cp:keywords>policies and procedures; table; summary and limitations; Human rights; impact assessment; decision making</cp:keywords>
  <dc:description/>
  <cp:lastModifiedBy>GILLAM, Maddison</cp:lastModifiedBy>
  <cp:revision>68</cp:revision>
  <cp:lastPrinted>2020-01-01T23:54:00Z</cp:lastPrinted>
  <dcterms:created xsi:type="dcterms:W3CDTF">2023-07-17T01:45:00Z</dcterms:created>
  <dcterms:modified xsi:type="dcterms:W3CDTF">2024-01-14T23:02:00Z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