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315" w:rsidRDefault="00D56568" w:rsidP="009109A0">
      <w:pPr>
        <w:pStyle w:val="Heading2"/>
        <w:spacing w:before="0"/>
        <w:rPr>
          <w:sz w:val="40"/>
        </w:rPr>
      </w:pPr>
      <w:r>
        <w:rPr>
          <w:noProof/>
          <w:lang w:eastAsia="zh-CN"/>
        </w:rPr>
        <mc:AlternateContent>
          <mc:Choice Requires="wps">
            <w:drawing>
              <wp:anchor distT="0" distB="0" distL="114300" distR="114300" simplePos="0" relativeHeight="251657728" behindDoc="0" locked="0" layoutInCell="1" allowOverlap="1">
                <wp:simplePos x="0" y="0"/>
                <wp:positionH relativeFrom="column">
                  <wp:posOffset>-48895</wp:posOffset>
                </wp:positionH>
                <wp:positionV relativeFrom="paragraph">
                  <wp:posOffset>-110490</wp:posOffset>
                </wp:positionV>
                <wp:extent cx="4369435" cy="102489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1024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37C" w:rsidRPr="00253958" w:rsidRDefault="007E6F8B">
                            <w:pPr>
                              <w:rPr>
                                <w:b/>
                                <w:color w:val="FFFFFF"/>
                                <w:sz w:val="44"/>
                                <w:szCs w:val="84"/>
                              </w:rPr>
                            </w:pPr>
                            <w:r>
                              <w:rPr>
                                <w:b/>
                                <w:color w:val="FFFFFF"/>
                                <w:sz w:val="44"/>
                                <w:szCs w:val="84"/>
                              </w:rPr>
                              <w:t xml:space="preserve">Managing Unsatisfactory Performance </w:t>
                            </w:r>
                            <w:r w:rsidR="00864BB3">
                              <w:rPr>
                                <w:b/>
                                <w:color w:val="FFFFFF"/>
                                <w:sz w:val="44"/>
                                <w:szCs w:val="84"/>
                              </w:rPr>
                              <w:t>– Principals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85pt;margin-top:-8.7pt;width:344.05pt;height:8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LptgIAALo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" filled="f" stroked="f">
                <v:textbox>
                  <w:txbxContent>
                    <w:p w:rsidR="00C4637C" w:rsidRPr="00253958" w:rsidRDefault="007E6F8B">
                      <w:pPr>
                        <w:rPr>
                          <w:b/>
                          <w:color w:val="FFFFFF"/>
                          <w:sz w:val="44"/>
                          <w:szCs w:val="84"/>
                        </w:rPr>
                      </w:pPr>
                      <w:r>
                        <w:rPr>
                          <w:b/>
                          <w:color w:val="FFFFFF"/>
                          <w:sz w:val="44"/>
                          <w:szCs w:val="84"/>
                        </w:rPr>
                        <w:t xml:space="preserve">Managing Unsatisfactory Performance </w:t>
                      </w:r>
                      <w:r w:rsidR="00864BB3">
                        <w:rPr>
                          <w:b/>
                          <w:color w:val="FFFFFF"/>
                          <w:sz w:val="44"/>
                          <w:szCs w:val="84"/>
                        </w:rPr>
                        <w:t>– Principals</w:t>
                      </w:r>
                    </w:p>
                  </w:txbxContent>
                </v:textbox>
              </v:shape>
            </w:pict>
          </mc:Fallback>
        </mc:AlternateContent>
      </w:r>
    </w:p>
    <w:p w:rsidR="00C21315" w:rsidRDefault="00C21315" w:rsidP="009109A0">
      <w:pPr>
        <w:pStyle w:val="Heading2"/>
        <w:spacing w:before="0"/>
        <w:rPr>
          <w:sz w:val="40"/>
        </w:rPr>
      </w:pPr>
    </w:p>
    <w:p w:rsidR="00C21315" w:rsidRDefault="00C21315" w:rsidP="009109A0">
      <w:pPr>
        <w:pStyle w:val="Heading2"/>
        <w:spacing w:before="0"/>
        <w:rPr>
          <w:sz w:val="40"/>
        </w:rPr>
      </w:pPr>
    </w:p>
    <w:p w:rsidR="00CD455A" w:rsidRPr="00CD455A" w:rsidRDefault="00864BB3" w:rsidP="00864BB3">
      <w:pPr>
        <w:spacing w:before="100" w:beforeAutospacing="1" w:after="100" w:afterAutospacing="1"/>
        <w:outlineLvl w:val="2"/>
        <w:rPr>
          <w:rFonts w:cs="Arial"/>
          <w:b/>
          <w:bCs/>
          <w:color w:val="000000"/>
          <w:sz w:val="28"/>
          <w:szCs w:val="28"/>
        </w:rPr>
      </w:pPr>
      <w:r>
        <w:rPr>
          <w:rFonts w:cs="Arial"/>
          <w:b/>
          <w:bCs/>
          <w:color w:val="000000"/>
          <w:sz w:val="28"/>
          <w:szCs w:val="28"/>
        </w:rPr>
        <w:t>Informal Process</w:t>
      </w:r>
    </w:p>
    <w:p w:rsidR="00864BB3" w:rsidRPr="00864BB3" w:rsidRDefault="00864BB3" w:rsidP="00864BB3">
      <w:pPr>
        <w:rPr>
          <w:rFonts w:cs="Arial"/>
          <w:sz w:val="20"/>
        </w:rPr>
      </w:pPr>
      <w:r w:rsidRPr="00864BB3">
        <w:rPr>
          <w:rFonts w:cs="Arial"/>
          <w:sz w:val="20"/>
        </w:rPr>
        <w:t>Unsatisfactory performance within one or more performance consideration alone will not usually warrant implementation of a formal MUP process. Unsatisfactory performance will be the subject of ongoing performance conversations between the principal and their principal supervisor or another departmental senior officer. The purpose of these conversations is to assist the principal in fulfilling their responsibility for:</w:t>
      </w:r>
    </w:p>
    <w:p w:rsidR="00864BB3" w:rsidRPr="00864BB3" w:rsidRDefault="00864BB3" w:rsidP="00864BB3">
      <w:pPr>
        <w:numPr>
          <w:ilvl w:val="0"/>
          <w:numId w:val="4"/>
        </w:numPr>
        <w:rPr>
          <w:rFonts w:cs="Arial"/>
          <w:sz w:val="20"/>
        </w:rPr>
      </w:pPr>
      <w:r w:rsidRPr="00864BB3">
        <w:rPr>
          <w:rFonts w:cs="Arial"/>
          <w:sz w:val="20"/>
        </w:rPr>
        <w:t>Identifying, acknowledging and accepting accountability for performance concerns</w:t>
      </w:r>
    </w:p>
    <w:p w:rsidR="00864BB3" w:rsidRPr="00864BB3" w:rsidRDefault="00864BB3" w:rsidP="00864BB3">
      <w:pPr>
        <w:numPr>
          <w:ilvl w:val="0"/>
          <w:numId w:val="4"/>
        </w:numPr>
        <w:rPr>
          <w:rFonts w:cs="Arial"/>
          <w:sz w:val="20"/>
        </w:rPr>
      </w:pPr>
      <w:r w:rsidRPr="00864BB3">
        <w:rPr>
          <w:rFonts w:cs="Arial"/>
          <w:sz w:val="20"/>
        </w:rPr>
        <w:t>Ascertaining any legitimate mitigating factors that may assist in explaining or dealing with concerns and</w:t>
      </w:r>
    </w:p>
    <w:p w:rsidR="00864BB3" w:rsidRPr="00864BB3" w:rsidRDefault="00864BB3" w:rsidP="00864BB3">
      <w:pPr>
        <w:numPr>
          <w:ilvl w:val="0"/>
          <w:numId w:val="4"/>
        </w:numPr>
        <w:rPr>
          <w:rFonts w:cs="Arial"/>
          <w:sz w:val="20"/>
        </w:rPr>
      </w:pPr>
      <w:r w:rsidRPr="00864BB3">
        <w:rPr>
          <w:rFonts w:cs="Arial"/>
          <w:sz w:val="20"/>
        </w:rPr>
        <w:t>Developing and implementing strategies to address identified issues</w:t>
      </w:r>
    </w:p>
    <w:p w:rsidR="00864BB3" w:rsidRPr="00864BB3" w:rsidRDefault="00864BB3" w:rsidP="00864BB3">
      <w:pPr>
        <w:rPr>
          <w:rFonts w:cs="Arial"/>
          <w:sz w:val="20"/>
        </w:rPr>
      </w:pPr>
    </w:p>
    <w:p w:rsidR="00864BB3" w:rsidRPr="00864BB3" w:rsidRDefault="00864BB3" w:rsidP="00864BB3">
      <w:pPr>
        <w:rPr>
          <w:rFonts w:cs="Arial"/>
          <w:sz w:val="20"/>
        </w:rPr>
      </w:pPr>
      <w:r w:rsidRPr="00864BB3">
        <w:rPr>
          <w:rFonts w:cs="Arial"/>
          <w:sz w:val="20"/>
        </w:rPr>
        <w:t>The principal is responsible for:</w:t>
      </w:r>
    </w:p>
    <w:p w:rsidR="00864BB3" w:rsidRPr="00864BB3" w:rsidRDefault="00864BB3" w:rsidP="00864BB3">
      <w:pPr>
        <w:numPr>
          <w:ilvl w:val="0"/>
          <w:numId w:val="5"/>
        </w:numPr>
        <w:rPr>
          <w:rFonts w:cs="Arial"/>
          <w:sz w:val="20"/>
        </w:rPr>
      </w:pPr>
      <w:r w:rsidRPr="00864BB3">
        <w:rPr>
          <w:rFonts w:cs="Arial"/>
          <w:sz w:val="20"/>
        </w:rPr>
        <w:t>Responding to and addressing performance concerns</w:t>
      </w:r>
    </w:p>
    <w:p w:rsidR="00864BB3" w:rsidRPr="00864BB3" w:rsidRDefault="00864BB3" w:rsidP="00864BB3">
      <w:pPr>
        <w:numPr>
          <w:ilvl w:val="0"/>
          <w:numId w:val="5"/>
        </w:numPr>
        <w:rPr>
          <w:rFonts w:cs="Arial"/>
          <w:sz w:val="20"/>
        </w:rPr>
      </w:pPr>
      <w:r w:rsidRPr="00864BB3">
        <w:rPr>
          <w:rFonts w:cs="Arial"/>
          <w:sz w:val="20"/>
        </w:rPr>
        <w:t>Identifying what existing assistance and/or resources are required to address the concerns and</w:t>
      </w:r>
    </w:p>
    <w:p w:rsidR="00864BB3" w:rsidRPr="00864BB3" w:rsidRDefault="00864BB3" w:rsidP="00864BB3">
      <w:pPr>
        <w:numPr>
          <w:ilvl w:val="0"/>
          <w:numId w:val="5"/>
        </w:numPr>
        <w:rPr>
          <w:rFonts w:cs="Arial"/>
          <w:sz w:val="20"/>
        </w:rPr>
      </w:pPr>
      <w:r w:rsidRPr="00864BB3">
        <w:rPr>
          <w:rFonts w:cs="Arial"/>
          <w:sz w:val="20"/>
        </w:rPr>
        <w:t>Ensuring appropriate monitoring mechanisms are in place for feedback on their performance, for example peer review and opinion surveys</w:t>
      </w:r>
    </w:p>
    <w:p w:rsidR="00864BB3" w:rsidRPr="00864BB3" w:rsidRDefault="00864BB3" w:rsidP="00864BB3">
      <w:pPr>
        <w:rPr>
          <w:rFonts w:cs="Arial"/>
          <w:sz w:val="20"/>
        </w:rPr>
      </w:pPr>
    </w:p>
    <w:p w:rsidR="00864BB3" w:rsidRPr="00864BB3" w:rsidRDefault="00864BB3" w:rsidP="00864BB3">
      <w:pPr>
        <w:rPr>
          <w:rFonts w:cs="Arial"/>
          <w:sz w:val="20"/>
        </w:rPr>
      </w:pPr>
      <w:r w:rsidRPr="00864BB3">
        <w:rPr>
          <w:rFonts w:cs="Arial"/>
          <w:sz w:val="20"/>
        </w:rPr>
        <w:t>The principal supervisor is responsible for:</w:t>
      </w:r>
    </w:p>
    <w:p w:rsidR="00864BB3" w:rsidRPr="00864BB3" w:rsidRDefault="00864BB3" w:rsidP="00864BB3">
      <w:pPr>
        <w:numPr>
          <w:ilvl w:val="0"/>
          <w:numId w:val="6"/>
        </w:numPr>
        <w:rPr>
          <w:rFonts w:cs="Arial"/>
          <w:sz w:val="20"/>
        </w:rPr>
      </w:pPr>
      <w:r w:rsidRPr="00864BB3">
        <w:rPr>
          <w:rFonts w:cs="Arial"/>
          <w:sz w:val="20"/>
        </w:rPr>
        <w:t>Reviewing the effectiveness of remedial strategies and</w:t>
      </w:r>
    </w:p>
    <w:p w:rsidR="00864BB3" w:rsidRPr="00864BB3" w:rsidRDefault="00864BB3" w:rsidP="00864BB3">
      <w:pPr>
        <w:numPr>
          <w:ilvl w:val="0"/>
          <w:numId w:val="6"/>
        </w:numPr>
        <w:rPr>
          <w:rFonts w:cs="Arial"/>
          <w:sz w:val="20"/>
        </w:rPr>
      </w:pPr>
      <w:r w:rsidRPr="00864BB3">
        <w:rPr>
          <w:rFonts w:cs="Arial"/>
          <w:sz w:val="20"/>
        </w:rPr>
        <w:t>Monitoring the principal’s performance</w:t>
      </w:r>
    </w:p>
    <w:p w:rsidR="00864BB3" w:rsidRPr="00864BB3" w:rsidRDefault="00864BB3" w:rsidP="00864BB3">
      <w:pPr>
        <w:rPr>
          <w:rFonts w:cs="Arial"/>
          <w:sz w:val="20"/>
        </w:rPr>
      </w:pPr>
    </w:p>
    <w:p w:rsidR="00864BB3" w:rsidRPr="00864BB3" w:rsidRDefault="00864BB3" w:rsidP="00864BB3">
      <w:pPr>
        <w:rPr>
          <w:rFonts w:cs="Arial"/>
          <w:sz w:val="20"/>
        </w:rPr>
      </w:pPr>
      <w:r w:rsidRPr="00864BB3">
        <w:rPr>
          <w:rFonts w:cs="Arial"/>
          <w:sz w:val="20"/>
        </w:rPr>
        <w:t>The informal MUP process is separate and distinct from the formal MUP process. However, the nature and duration of opportunities to respond to performance concerns and the effectiveness of remedial strategies may inform decision-making in the formal MUP process.</w:t>
      </w:r>
    </w:p>
    <w:p w:rsidR="00864BB3" w:rsidRPr="00864BB3" w:rsidRDefault="00864BB3" w:rsidP="00864BB3">
      <w:pPr>
        <w:rPr>
          <w:rFonts w:cs="Arial"/>
          <w:sz w:val="20"/>
        </w:rPr>
      </w:pPr>
    </w:p>
    <w:p w:rsidR="00864BB3" w:rsidRPr="00864BB3" w:rsidRDefault="00864BB3" w:rsidP="00864BB3">
      <w:pPr>
        <w:rPr>
          <w:rFonts w:cs="Arial"/>
          <w:sz w:val="20"/>
        </w:rPr>
      </w:pPr>
      <w:r w:rsidRPr="00864BB3">
        <w:rPr>
          <w:rFonts w:cs="Arial"/>
          <w:sz w:val="20"/>
        </w:rPr>
        <w:t>Principals will be advised of the intention to implement an informal MUP process and be provided with an opportunity to seek the advice and support of a union representative and/or colleague in all meetings during which matters pertaining to the informal MUP process are discussed.</w:t>
      </w:r>
    </w:p>
    <w:p w:rsidR="00864BB3" w:rsidRPr="00864BB3" w:rsidRDefault="00864BB3" w:rsidP="00864BB3">
      <w:pPr>
        <w:rPr>
          <w:rFonts w:cs="Arial"/>
          <w:sz w:val="20"/>
        </w:rPr>
      </w:pPr>
    </w:p>
    <w:p w:rsidR="00864BB3" w:rsidRPr="00864BB3" w:rsidRDefault="00864BB3" w:rsidP="00864BB3">
      <w:pPr>
        <w:rPr>
          <w:rFonts w:cs="Arial"/>
          <w:sz w:val="20"/>
        </w:rPr>
      </w:pPr>
      <w:r w:rsidRPr="00864BB3">
        <w:rPr>
          <w:rFonts w:cs="Arial"/>
          <w:sz w:val="20"/>
        </w:rPr>
        <w:t>Any records of the informal MUP process will be provided to the principal and may be retained on a principal’s personnel record. The principal will have an opportunity to submit a written response to any MUP record retained on their personnel record. Such information on a principal’s personnel file may not be relied upon as evidence of unsatisfactory performance in any decision-making process in relation to the principal’s employment in the absence of a formal MUP process being enacted.</w:t>
      </w:r>
    </w:p>
    <w:p w:rsidR="00F70C0C" w:rsidRPr="00864BB3" w:rsidRDefault="00F70C0C" w:rsidP="007E6F8B">
      <w:pPr>
        <w:ind w:left="720"/>
        <w:rPr>
          <w:rFonts w:cs="Arial"/>
          <w:sz w:val="20"/>
        </w:rPr>
      </w:pPr>
      <w:bookmarkStart w:id="0" w:name="_GoBack"/>
      <w:bookmarkEnd w:id="0"/>
    </w:p>
    <w:sectPr w:rsidR="00F70C0C" w:rsidRPr="00864BB3" w:rsidSect="00864BB3">
      <w:footerReference w:type="default" r:id="rId11"/>
      <w:headerReference w:type="first" r:id="rId12"/>
      <w:footerReference w:type="first" r:id="rId13"/>
      <w:pgSz w:w="11906" w:h="16838" w:code="9"/>
      <w:pgMar w:top="1134" w:right="566" w:bottom="1276" w:left="567" w:header="709" w:footer="104"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EF4" w:rsidRDefault="00E16EF4">
      <w:r>
        <w:separator/>
      </w:r>
    </w:p>
  </w:endnote>
  <w:endnote w:type="continuationSeparator" w:id="0">
    <w:p w:rsidR="00E16EF4" w:rsidRDefault="00E16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F8B" w:rsidRDefault="007E6F8B" w:rsidP="007E6F8B">
    <w:pPr>
      <w:pStyle w:val="ListParagraph"/>
      <w:tabs>
        <w:tab w:val="right" w:pos="10206"/>
      </w:tabs>
      <w:spacing w:after="0"/>
      <w:rPr>
        <w:b/>
        <w:sz w:val="18"/>
        <w:szCs w:val="18"/>
      </w:rPr>
    </w:pPr>
  </w:p>
  <w:p w:rsidR="007E6F8B" w:rsidRPr="00253958" w:rsidRDefault="007E6F8B" w:rsidP="007E6F8B">
    <w:pPr>
      <w:pStyle w:val="ListParagraph"/>
      <w:tabs>
        <w:tab w:val="right" w:pos="10773"/>
      </w:tabs>
      <w:spacing w:after="0"/>
      <w:ind w:left="0"/>
      <w:rPr>
        <w:rFonts w:ascii="Arial" w:hAnsi="Arial" w:cs="Arial"/>
        <w:b/>
        <w:sz w:val="18"/>
        <w:szCs w:val="18"/>
      </w:rPr>
    </w:pPr>
  </w:p>
  <w:p w:rsidR="007E6F8B" w:rsidRDefault="007E6F8B" w:rsidP="007E6F8B">
    <w:pPr>
      <w:pStyle w:val="ListParagraph"/>
      <w:tabs>
        <w:tab w:val="right" w:pos="10206"/>
      </w:tabs>
      <w:spacing w:after="0"/>
      <w:ind w:left="0"/>
      <w:rPr>
        <w:rFonts w:ascii="Arial" w:hAnsi="Arial" w:cs="Arial"/>
        <w:sz w:val="18"/>
        <w:szCs w:val="18"/>
      </w:rPr>
    </w:pPr>
    <w:r w:rsidRPr="00253958">
      <w:rPr>
        <w:rFonts w:ascii="Arial" w:hAnsi="Arial" w:cs="Arial"/>
        <w:b/>
        <w:sz w:val="18"/>
        <w:szCs w:val="18"/>
      </w:rPr>
      <w:t>Uncontrolled copy.</w:t>
    </w:r>
    <w:r w:rsidRPr="00253958">
      <w:rPr>
        <w:rFonts w:ascii="Arial" w:hAnsi="Arial" w:cs="Arial"/>
        <w:sz w:val="18"/>
        <w:szCs w:val="18"/>
      </w:rPr>
      <w:t xml:space="preserve"> Refer to the Department of Education, Training and Employment </w:t>
    </w:r>
  </w:p>
  <w:p w:rsidR="007E6F8B" w:rsidRPr="00253958" w:rsidRDefault="007E6F8B" w:rsidP="007E6F8B">
    <w:pPr>
      <w:pStyle w:val="ListParagraph"/>
      <w:tabs>
        <w:tab w:val="right" w:pos="10206"/>
      </w:tabs>
      <w:spacing w:after="0"/>
      <w:ind w:left="0"/>
      <w:rPr>
        <w:rFonts w:ascii="Arial" w:hAnsi="Arial" w:cs="Arial"/>
        <w:sz w:val="18"/>
        <w:szCs w:val="18"/>
      </w:rPr>
    </w:pPr>
    <w:r>
      <w:rPr>
        <w:rFonts w:ascii="Arial" w:hAnsi="Arial" w:cs="Arial"/>
        <w:sz w:val="18"/>
        <w:szCs w:val="18"/>
      </w:rPr>
      <w:t>Policy and Procedure</w:t>
    </w:r>
    <w:r w:rsidRPr="00253958">
      <w:rPr>
        <w:rFonts w:ascii="Arial" w:hAnsi="Arial" w:cs="Arial"/>
        <w:sz w:val="18"/>
        <w:szCs w:val="18"/>
      </w:rPr>
      <w:t xml:space="preserve"> Register at </w:t>
    </w:r>
    <w:hyperlink r:id="rId1" w:history="1">
      <w:r w:rsidRPr="00253958">
        <w:rPr>
          <w:rStyle w:val="Hyperlink"/>
          <w:rFonts w:ascii="Arial" w:hAnsi="Arial" w:cs="Arial"/>
          <w:sz w:val="18"/>
          <w:szCs w:val="18"/>
        </w:rPr>
        <w:t>http://ppr.det.qld.gov.au</w:t>
      </w:r>
    </w:hyperlink>
    <w:r w:rsidRPr="00253958">
      <w:rPr>
        <w:rFonts w:ascii="Arial" w:hAnsi="Arial" w:cs="Arial"/>
        <w:sz w:val="18"/>
        <w:szCs w:val="18"/>
      </w:rPr>
      <w:t xml:space="preserve">  to ensure you have the most current version of this document. </w:t>
    </w:r>
    <w:r w:rsidRPr="00253958">
      <w:rPr>
        <w:rFonts w:ascii="Arial" w:hAnsi="Arial" w:cs="Arial"/>
        <w:sz w:val="18"/>
        <w:szCs w:val="18"/>
      </w:rPr>
      <w:tab/>
    </w:r>
    <w:r>
      <w:rPr>
        <w:rFonts w:ascii="Arial" w:hAnsi="Arial" w:cs="Arial"/>
        <w:sz w:val="18"/>
        <w:szCs w:val="18"/>
      </w:rPr>
      <w:t xml:space="preserve">    </w:t>
    </w:r>
  </w:p>
  <w:p w:rsidR="007E6F8B" w:rsidRDefault="007E6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37C" w:rsidRDefault="00C4637C" w:rsidP="00253958">
    <w:pPr>
      <w:pStyle w:val="ListParagraph"/>
      <w:tabs>
        <w:tab w:val="right" w:pos="10206"/>
      </w:tabs>
      <w:spacing w:after="0"/>
      <w:rPr>
        <w:b/>
        <w:sz w:val="18"/>
        <w:szCs w:val="18"/>
      </w:rPr>
    </w:pPr>
  </w:p>
  <w:p w:rsidR="00C4637C" w:rsidRPr="00253958" w:rsidRDefault="00C4637C" w:rsidP="00253958">
    <w:pPr>
      <w:pStyle w:val="ListParagraph"/>
      <w:tabs>
        <w:tab w:val="right" w:pos="10773"/>
      </w:tabs>
      <w:spacing w:after="0"/>
      <w:ind w:left="0"/>
      <w:rPr>
        <w:rFonts w:ascii="Arial" w:hAnsi="Arial" w:cs="Arial"/>
        <w:b/>
        <w:sz w:val="18"/>
        <w:szCs w:val="18"/>
      </w:rPr>
    </w:pPr>
  </w:p>
  <w:p w:rsidR="00C4637C" w:rsidRPr="00253958" w:rsidRDefault="00C4637C" w:rsidP="00253958">
    <w:pPr>
      <w:pStyle w:val="ListParagraph"/>
      <w:tabs>
        <w:tab w:val="right" w:pos="10206"/>
      </w:tabs>
      <w:spacing w:after="0"/>
      <w:ind w:left="0"/>
      <w:rPr>
        <w:rFonts w:ascii="Arial" w:hAnsi="Arial" w:cs="Arial"/>
        <w:sz w:val="18"/>
        <w:szCs w:val="18"/>
      </w:rPr>
    </w:pPr>
    <w:r w:rsidRPr="00253958">
      <w:rPr>
        <w:rFonts w:ascii="Arial" w:hAnsi="Arial" w:cs="Arial"/>
        <w:b/>
        <w:sz w:val="18"/>
        <w:szCs w:val="18"/>
      </w:rPr>
      <w:t>Uncontrolled copy.</w:t>
    </w:r>
    <w:r w:rsidRPr="00253958">
      <w:rPr>
        <w:rFonts w:ascii="Arial" w:hAnsi="Arial" w:cs="Arial"/>
        <w:sz w:val="18"/>
        <w:szCs w:val="18"/>
      </w:rPr>
      <w:t xml:space="preserve"> Refer </w:t>
    </w:r>
    <w:r w:rsidR="0073047E">
      <w:rPr>
        <w:rFonts w:ascii="Arial" w:hAnsi="Arial" w:cs="Arial"/>
        <w:sz w:val="18"/>
        <w:szCs w:val="18"/>
      </w:rPr>
      <w:t xml:space="preserve">to the Department of Education </w:t>
    </w:r>
    <w:r w:rsidR="00567D03">
      <w:rPr>
        <w:rFonts w:ascii="Arial" w:hAnsi="Arial" w:cs="Arial"/>
        <w:sz w:val="18"/>
        <w:szCs w:val="18"/>
      </w:rPr>
      <w:t>Policy and Procedure</w:t>
    </w:r>
    <w:r w:rsidRPr="00253958">
      <w:rPr>
        <w:rFonts w:ascii="Arial" w:hAnsi="Arial" w:cs="Arial"/>
        <w:sz w:val="18"/>
        <w:szCs w:val="18"/>
      </w:rPr>
      <w:t xml:space="preserve"> Register at</w:t>
    </w:r>
    <w:r w:rsidR="0073047E">
      <w:rPr>
        <w:rFonts w:ascii="Arial" w:hAnsi="Arial" w:cs="Arial"/>
        <w:sz w:val="18"/>
        <w:szCs w:val="18"/>
      </w:rPr>
      <w:t xml:space="preserve"> </w:t>
    </w:r>
    <w:hyperlink r:id="rId1" w:history="1">
      <w:r w:rsidR="008F3756">
        <w:rPr>
          <w:rStyle w:val="Hyperlink"/>
          <w:rFonts w:ascii="Arial" w:hAnsi="Arial" w:cs="Arial"/>
          <w:sz w:val="18"/>
          <w:szCs w:val="18"/>
        </w:rPr>
        <w:t>https://ppr.qed.qld.gov.au/pp/managing-unsatisfactory-performance-principals-procedure</w:t>
      </w:r>
    </w:hyperlink>
    <w:r w:rsidR="0073047E">
      <w:rPr>
        <w:rFonts w:ascii="Arial" w:hAnsi="Arial" w:cs="Arial"/>
        <w:sz w:val="18"/>
        <w:szCs w:val="18"/>
      </w:rPr>
      <w:t xml:space="preserve"> </w:t>
    </w:r>
    <w:r w:rsidRPr="00253958">
      <w:rPr>
        <w:rFonts w:ascii="Arial" w:hAnsi="Arial" w:cs="Arial"/>
        <w:sz w:val="18"/>
        <w:szCs w:val="18"/>
      </w:rPr>
      <w:t xml:space="preserve">to ensure you have the most current version of this document. </w:t>
    </w:r>
    <w:r w:rsidRPr="00253958">
      <w:rPr>
        <w:rFonts w:ascii="Arial" w:hAnsi="Arial" w:cs="Arial"/>
        <w:sz w:val="18"/>
        <w:szCs w:val="18"/>
      </w:rPr>
      <w:tab/>
    </w:r>
    <w:r w:rsidR="00567D03">
      <w:rPr>
        <w:rFonts w:ascii="Arial" w:hAnsi="Arial" w:cs="Arial"/>
        <w:sz w:val="18"/>
        <w:szCs w:val="18"/>
      </w:rPr>
      <w:t xml:space="preserve">    </w:t>
    </w:r>
  </w:p>
  <w:p w:rsidR="00C4637C" w:rsidRDefault="00C46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EF4" w:rsidRDefault="00E16EF4">
      <w:r>
        <w:separator/>
      </w:r>
    </w:p>
  </w:footnote>
  <w:footnote w:type="continuationSeparator" w:id="0">
    <w:p w:rsidR="00E16EF4" w:rsidRDefault="00E16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37C" w:rsidRDefault="00D56568">
    <w:pPr>
      <w:pStyle w:val="Header"/>
    </w:pPr>
    <w:r>
      <w:rPr>
        <w:noProof/>
        <w:lang w:eastAsia="zh-CN"/>
      </w:rPr>
      <w:drawing>
        <wp:anchor distT="0" distB="0" distL="114300" distR="114300" simplePos="0" relativeHeight="251657728" behindDoc="1" locked="0" layoutInCell="1" allowOverlap="1">
          <wp:simplePos x="0" y="0"/>
          <wp:positionH relativeFrom="column">
            <wp:posOffset>-76200</wp:posOffset>
          </wp:positionH>
          <wp:positionV relativeFrom="paragraph">
            <wp:posOffset>-116840</wp:posOffset>
          </wp:positionV>
          <wp:extent cx="6972300" cy="1527810"/>
          <wp:effectExtent l="0" t="0" r="0" b="0"/>
          <wp:wrapNone/>
          <wp:docPr id="9" name="Picture 9" descr="A4 header portrait_D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4 header portrait_D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0" cy="15278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825FC"/>
    <w:multiLevelType w:val="hybridMultilevel"/>
    <w:tmpl w:val="F7B6B67E"/>
    <w:lvl w:ilvl="0" w:tplc="0C090001">
      <w:start w:val="1"/>
      <w:numFmt w:val="bullet"/>
      <w:lvlText w:val=""/>
      <w:lvlJc w:val="left"/>
      <w:pPr>
        <w:tabs>
          <w:tab w:val="num" w:pos="840"/>
        </w:tabs>
        <w:ind w:left="840" w:hanging="360"/>
      </w:pPr>
      <w:rPr>
        <w:rFonts w:ascii="Symbol" w:hAnsi="Symbol" w:hint="default"/>
      </w:rPr>
    </w:lvl>
    <w:lvl w:ilvl="1" w:tplc="0C090003" w:tentative="1">
      <w:start w:val="1"/>
      <w:numFmt w:val="bullet"/>
      <w:lvlText w:val="o"/>
      <w:lvlJc w:val="left"/>
      <w:pPr>
        <w:tabs>
          <w:tab w:val="num" w:pos="1560"/>
        </w:tabs>
        <w:ind w:left="1560" w:hanging="360"/>
      </w:pPr>
      <w:rPr>
        <w:rFonts w:ascii="Courier New" w:hAnsi="Courier New" w:cs="Courier New"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cs="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cs="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11B03B6D"/>
    <w:multiLevelType w:val="hybridMultilevel"/>
    <w:tmpl w:val="B99AE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B671E"/>
    <w:multiLevelType w:val="hybridMultilevel"/>
    <w:tmpl w:val="6E4A78F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B2B49FA"/>
    <w:multiLevelType w:val="hybridMultilevel"/>
    <w:tmpl w:val="611A760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4CA4547"/>
    <w:multiLevelType w:val="hybridMultilevel"/>
    <w:tmpl w:val="FBF443A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4DA25D4"/>
    <w:multiLevelType w:val="hybridMultilevel"/>
    <w:tmpl w:val="D346A94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4171B"/>
    <w:rsid w:val="000B6D94"/>
    <w:rsid w:val="001E1DD6"/>
    <w:rsid w:val="001E4424"/>
    <w:rsid w:val="0022354E"/>
    <w:rsid w:val="0022550C"/>
    <w:rsid w:val="00253958"/>
    <w:rsid w:val="00476534"/>
    <w:rsid w:val="00531E4C"/>
    <w:rsid w:val="00567D03"/>
    <w:rsid w:val="00671EED"/>
    <w:rsid w:val="0068642B"/>
    <w:rsid w:val="0073047E"/>
    <w:rsid w:val="007B50A4"/>
    <w:rsid w:val="007E6F8B"/>
    <w:rsid w:val="00864BB3"/>
    <w:rsid w:val="008F3756"/>
    <w:rsid w:val="009109A0"/>
    <w:rsid w:val="00961575"/>
    <w:rsid w:val="009812C8"/>
    <w:rsid w:val="00B27D78"/>
    <w:rsid w:val="00B65E84"/>
    <w:rsid w:val="00C21315"/>
    <w:rsid w:val="00C4637C"/>
    <w:rsid w:val="00CD455A"/>
    <w:rsid w:val="00D41438"/>
    <w:rsid w:val="00D56568"/>
    <w:rsid w:val="00DF5875"/>
    <w:rsid w:val="00E16EF4"/>
    <w:rsid w:val="00E35C2B"/>
    <w:rsid w:val="00F70C0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F50383D-6727-4309-AD9A-DB77EE21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E66"/>
    <w:rPr>
      <w:rFonts w:ascii="Arial" w:eastAsia="Times" w:hAnsi="Arial"/>
      <w:sz w:val="24"/>
      <w:lang w:eastAsia="en-AU"/>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styleId="ListParagraph">
    <w:name w:val="List Paragraph"/>
    <w:basedOn w:val="Normal"/>
    <w:uiPriority w:val="34"/>
    <w:qFormat/>
    <w:rsid w:val="00253958"/>
    <w:pPr>
      <w:spacing w:after="200" w:line="276" w:lineRule="auto"/>
      <w:ind w:left="720"/>
      <w:contextualSpacing/>
    </w:pPr>
    <w:rPr>
      <w:rFonts w:ascii="Calibri" w:eastAsia="SimSun" w:hAnsi="Calibri"/>
      <w:sz w:val="22"/>
      <w:szCs w:val="22"/>
      <w:lang w:eastAsia="zh-CN"/>
    </w:rPr>
  </w:style>
  <w:style w:type="character" w:styleId="Hyperlink">
    <w:name w:val="Hyperlink"/>
    <w:uiPriority w:val="99"/>
    <w:unhideWhenUsed/>
    <w:rsid w:val="002539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ppr.det.qld.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ppr.mpe.qed.qld.gov.au/pp/managing-unsatisfactory-performance-principals-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RHPRMRecordNumber xmlns="http://schemas.microsoft.com/sharepoint/v3">20/712186</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2022-04-07T03:25:19+00:00</PPSubmittedDate>
    <PPRRiskcontrol xmlns="http://schemas.microsoft.com/sharepoint/v3">false</PPRRiskcontrol>
    <PPRHierarchyID xmlns="http://schemas.microsoft.com/sharepoint/v3">20/711384</PPRHierarchyID>
    <PPRBranch xmlns="http://schemas.microsoft.com/sharepoint/v3">Human Resources</PPRBranch>
    <PPRDescription xmlns="http://schemas.microsoft.com/sharepoint/v3">Informal Process</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MOIR, Alex</DisplayName>
        <AccountId>13077</AccountId>
        <AccountType/>
      </UserInfo>
    </PPSubmittedBy>
    <PPRNotes xmlns="http://schemas.microsoft.com/sharepoint/v3" xsi:nil="true"/>
    <PPRDivision xmlns="http://schemas.microsoft.com/sharepoint/v3">People and Corporate Services</PPRDivision>
    <PPLastReviewedDate xmlns="16795be8-4374-4e44-895d-be6cdbab3e2c">2022-04-13T01:22:40+00:00</PPLastReviewedDate>
    <PPContentAuthor xmlns="16795be8-4374-4e44-895d-be6cdbab3e2c">
      <UserInfo>
        <DisplayName/>
        <AccountId xsi:nil="true"/>
        <AccountType/>
      </UserInfo>
    </PPContentAuthor>
    <PPModeratedDate xmlns="16795be8-4374-4e44-895d-be6cdbab3e2c">2022-04-13T01:22:40+00:00</PPModeratedDate>
    <PPRBusinessUnit xmlns="http://schemas.microsoft.com/sharepoint/v3">Integrity and Employee Relations</PPRBusinessUnit>
    <PPRIsUpdatesPage xmlns="http://schemas.microsoft.com/sharepoint/v3">false</PPRIsUpdatesPage>
    <PPRContentType xmlns="http://schemas.microsoft.com/sharepoint/v3">Supporting information</PPRContentType>
    <PPRHPRMUpdateDate xmlns="http://schemas.microsoft.com/sharepoint/v3">2021-02-09T00:57:50+00:00</PPRHPRMUpdateDate>
    <PPRPrimaryCategory xmlns="16795be8-4374-4e44-895d-be6cdbab3e2c">5</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alex.moir@qed.qed.gov.au</PPPublishedNotificationAddresses>
    <PPContentOwner xmlns="16795be8-4374-4e44-895d-be6cdbab3e2c">
      <UserInfo>
        <DisplayName/>
        <AccountId xsi:nil="true"/>
        <AccountType/>
      </UserInfo>
    </PPContentOwner>
    <PPRContentAuthor xmlns="http://schemas.microsoft.com/sharepoint/v3">Lisa Shield, Director</PPRContentAuthor>
    <PPRDecommissionedDate xmlns="http://schemas.microsoft.com/sharepoint/v3" xsi:nil="true"/>
    <PPRPrimarySubCategory xmlns="16795be8-4374-4e44-895d-be6cdbab3e2c">12</PPRPrimarySubCategory>
    <PPRContentOwner xmlns="http://schemas.microsoft.com/sharepoint/v3">DDG, People and Corporate Services</PPRContentOwner>
    <PPRNominatedApprovers xmlns="http://schemas.microsoft.com/sharepoint/v3">See HR schedule</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3</PPRHPRMRevisionNumber>
    <PPRKeywords xmlns="http://schemas.microsoft.com/sharepoint/v3">diminished performance; below standards; poor performance; performance improvement; PIP; MUP; not meeting KPIs; diminished work; performance issues; unsatisfactory performance; managing performance;</PPRKeywords>
    <PPRPublishedDate xmlns="http://schemas.microsoft.com/sharepoint/v3" xsi:nil="true"/>
    <PPRStatus xmlns="http://schemas.microsoft.com/sharepoint/v3" xsi:nil="true"/>
    <PPRRisknumber xmlns="http://schemas.microsoft.com/sharepoint/v3" xsi:nil="true"/>
    <PPRAttachmentParent xmlns="http://schemas.microsoft.com/sharepoint/v3">20/711389</PPRAttachmentParent>
    <PPRSecondarySubCategory xmlns="16795be8-4374-4e44-895d-be6cdbab3e2c"/>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97A17B-29F7-4437-8C23-272A4914FD68}"/>
</file>

<file path=customXml/itemProps2.xml><?xml version="1.0" encoding="utf-8"?>
<ds:datastoreItem xmlns:ds="http://schemas.openxmlformats.org/officeDocument/2006/customXml" ds:itemID="{A4E98ECF-6A98-4759-B66F-F97E30166088}"/>
</file>

<file path=customXml/itemProps3.xml><?xml version="1.0" encoding="utf-8"?>
<ds:datastoreItem xmlns:ds="http://schemas.openxmlformats.org/officeDocument/2006/customXml" ds:itemID="{C2882E76-9BAC-49F8-9843-012EEA4941C9}"/>
</file>

<file path=customXml/itemProps4.xml><?xml version="1.0" encoding="utf-8"?>
<ds:datastoreItem xmlns:ds="http://schemas.openxmlformats.org/officeDocument/2006/customXml" ds:itemID="{DD34D035-9B45-48CD-893B-C0601BE1AA35}"/>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DETE A4 generic header portrait</vt:lpstr>
    </vt:vector>
  </TitlesOfParts>
  <Company>Education Queensland</Company>
  <LinksUpToDate>false</LinksUpToDate>
  <CharactersWithSpaces>2190</CharactersWithSpaces>
  <SharedDoc>false</SharedDoc>
  <HLinks>
    <vt:vector size="6" baseType="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Informal Process</dc:title>
  <dc:subject/>
  <dc:creator>John Pennisi</dc:creator>
  <cp:keywords>DETE A4 generic header portrait</cp:keywords>
  <dc:description/>
  <cp:lastModifiedBy>GOUDIE, Cameron</cp:lastModifiedBy>
  <cp:revision>3</cp:revision>
  <cp:lastPrinted>2012-05-01T03:36:00Z</cp:lastPrinted>
  <dcterms:created xsi:type="dcterms:W3CDTF">2021-02-09T00:03:00Z</dcterms:created>
  <dcterms:modified xsi:type="dcterms:W3CDTF">2021-02-09T00:57:00Z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OnePortal Document</vt:lpwstr>
  </property>
  <property fmtid="{D5CDD505-2E9C-101B-9397-08002B2CF9AE}" pid="3" name="Order">
    <vt:r8>22700</vt:r8>
  </property>
  <property fmtid="{D5CDD505-2E9C-101B-9397-08002B2CF9AE}" pid="4" name="ContentTypeId">
    <vt:lpwstr>0x0101002CD7558897FC4235A682984CA042D72E0080A487CF4296A94BBAFF531C206947CC</vt:lpwstr>
  </property>
</Properties>
</file>