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3A53" w14:textId="6D027F9D" w:rsidR="00BA45BC" w:rsidRPr="0086049C" w:rsidRDefault="007A4A20" w:rsidP="006F6489">
      <w:pPr>
        <w:adjustRightInd w:val="0"/>
        <w:snapToGrid w:val="0"/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  <w:r w:rsidRPr="0086049C">
        <w:rPr>
          <w:noProof/>
          <w:color w:val="9BBB59" w:themeColor="accent3"/>
          <w:sz w:val="52"/>
          <w:szCs w:val="52"/>
          <w:lang w:val="en-AU" w:eastAsia="zh-CN"/>
        </w:rPr>
        <w:drawing>
          <wp:anchor distT="0" distB="0" distL="114300" distR="114300" simplePos="0" relativeHeight="251679744" behindDoc="1" locked="1" layoutInCell="1" allowOverlap="1" wp14:anchorId="4A6C9C35" wp14:editId="74AFED3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990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A4 portrait_overla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11C74" w14:textId="13E68E24" w:rsidR="00BA45BC" w:rsidRPr="0086049C" w:rsidRDefault="00F84745" w:rsidP="006F6489">
      <w:pPr>
        <w:adjustRightInd w:val="0"/>
        <w:snapToGrid w:val="0"/>
        <w:spacing w:before="120" w:after="120" w:line="240" w:lineRule="auto"/>
        <w:rPr>
          <w:rFonts w:ascii="Arial" w:hAnsi="Arial" w:cs="Arial"/>
        </w:rPr>
      </w:pPr>
      <w:r w:rsidRPr="0086049C">
        <w:rPr>
          <w:rFonts w:eastAsia="Times New Roman"/>
          <w:bCs/>
          <w:noProof/>
          <w:sz w:val="32"/>
          <w:szCs w:val="32"/>
          <w:lang w:val="en-AU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06030" wp14:editId="1AE1E050">
                <wp:simplePos x="0" y="0"/>
                <wp:positionH relativeFrom="margin">
                  <wp:posOffset>-90805</wp:posOffset>
                </wp:positionH>
                <wp:positionV relativeFrom="paragraph">
                  <wp:posOffset>177281</wp:posOffset>
                </wp:positionV>
                <wp:extent cx="6736715" cy="7969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5970" w14:textId="32E384BF" w:rsidR="00A81822" w:rsidRPr="00544716" w:rsidRDefault="00A81822" w:rsidP="00A81822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544716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Information sheet 3</w:t>
                            </w:r>
                          </w:p>
                          <w:p w14:paraId="5FD7FBDF" w14:textId="5D686DF9" w:rsidR="00A81822" w:rsidRPr="00F4061B" w:rsidRDefault="00A81822" w:rsidP="001D5D61">
                            <w:pPr>
                              <w:pStyle w:val="ISheading"/>
                              <w:pBdr>
                                <w:bottom w:val="single" w:sz="4" w:space="1" w:color="auto"/>
                              </w:pBdr>
                              <w:spacing w:before="120" w:line="276" w:lineRule="auto"/>
                              <w:rPr>
                                <w:color w:val="705AC5"/>
                              </w:rPr>
                            </w:pPr>
                            <w:r w:rsidRPr="00FF6D82">
                              <w:rPr>
                                <w:color w:val="705AC5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color w:val="705AC5"/>
                              </w:rPr>
                              <w:t xml:space="preserve">esponding to risk – </w:t>
                            </w:r>
                            <w:r w:rsidRPr="00E008FF">
                              <w:rPr>
                                <w:color w:val="705AC5"/>
                              </w:rPr>
                              <w:t>controls and actions</w:t>
                            </w:r>
                          </w:p>
                          <w:p w14:paraId="7BE68036" w14:textId="77777777" w:rsidR="00A81822" w:rsidRPr="0086049C" w:rsidRDefault="00A81822" w:rsidP="00A8182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60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.15pt;margin-top:13.95pt;width:530.45pt;height: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" filled="f" stroked="f" strokeweight=".5pt">
                <v:textbox>
                  <w:txbxContent>
                    <w:p w14:paraId="56B45970" w14:textId="32E384BF" w:rsidR="00A81822" w:rsidRPr="00544716" w:rsidRDefault="00A81822" w:rsidP="00A81822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544716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Information sheet 3</w:t>
                      </w:r>
                    </w:p>
                    <w:p w14:paraId="5FD7FBDF" w14:textId="5D686DF9" w:rsidR="00A81822" w:rsidRPr="00F4061B" w:rsidRDefault="00A81822" w:rsidP="001D5D61">
                      <w:pPr>
                        <w:pStyle w:val="ISheading"/>
                        <w:pBdr>
                          <w:bottom w:val="single" w:sz="4" w:space="1" w:color="auto"/>
                        </w:pBdr>
                        <w:spacing w:before="120" w:line="276" w:lineRule="auto"/>
                        <w:rPr>
                          <w:color w:val="705AC5"/>
                        </w:rPr>
                      </w:pPr>
                      <w:r w:rsidRPr="00FF6D82">
                        <w:rPr>
                          <w:color w:val="705AC5"/>
                          <w:szCs w:val="36"/>
                        </w:rPr>
                        <w:t>R</w:t>
                      </w:r>
                      <w:r>
                        <w:rPr>
                          <w:color w:val="705AC5"/>
                        </w:rPr>
                        <w:t xml:space="preserve">esponding to risk – </w:t>
                      </w:r>
                      <w:r w:rsidRPr="00E008FF">
                        <w:rPr>
                          <w:color w:val="705AC5"/>
                        </w:rPr>
                        <w:t>controls and actions</w:t>
                      </w:r>
                    </w:p>
                    <w:p w14:paraId="7BE68036" w14:textId="77777777" w:rsidR="00A81822" w:rsidRPr="0086049C" w:rsidRDefault="00A81822" w:rsidP="00A8182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3BFCC" w14:textId="6E7C9FB7" w:rsidR="0005793D" w:rsidRPr="0086049C" w:rsidRDefault="0005793D" w:rsidP="006F6489">
      <w:pPr>
        <w:adjustRightInd w:val="0"/>
        <w:snapToGrid w:val="0"/>
        <w:spacing w:before="120" w:after="120" w:line="240" w:lineRule="auto"/>
        <w:rPr>
          <w:rFonts w:ascii="Arial" w:hAnsi="Arial" w:cs="Arial"/>
        </w:rPr>
      </w:pPr>
    </w:p>
    <w:p w14:paraId="56985AD6" w14:textId="44894565" w:rsidR="0086049C" w:rsidRDefault="0086049C" w:rsidP="005A15F0">
      <w:pPr>
        <w:rPr>
          <w:rFonts w:ascii="Arial" w:hAnsi="Arial" w:cs="Arial"/>
          <w:sz w:val="20"/>
          <w:szCs w:val="20"/>
        </w:rPr>
      </w:pPr>
    </w:p>
    <w:p w14:paraId="07354853" w14:textId="77777777" w:rsidR="00F84745" w:rsidRDefault="00F84745" w:rsidP="0086049C">
      <w:pPr>
        <w:spacing w:before="240" w:after="120" w:line="240" w:lineRule="auto"/>
        <w:rPr>
          <w:rFonts w:ascii="Arial" w:hAnsi="Arial" w:cs="Arial"/>
          <w:sz w:val="20"/>
          <w:szCs w:val="20"/>
        </w:rPr>
      </w:pPr>
    </w:p>
    <w:p w14:paraId="6DED9FE6" w14:textId="0B2435EC" w:rsidR="005A15F0" w:rsidRPr="00D12104" w:rsidRDefault="005A15F0" w:rsidP="00A2777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>We regularly asses our risks, identify trends and respond to risks and opportunities for continuous improvement.</w:t>
      </w:r>
    </w:p>
    <w:p w14:paraId="72330A61" w14:textId="7C7EEA04" w:rsidR="00D62A96" w:rsidRPr="00A621A0" w:rsidRDefault="00484779" w:rsidP="0086049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One way we respond to </w:t>
      </w:r>
      <w:r w:rsidR="005A15F0" w:rsidRPr="00D12104">
        <w:rPr>
          <w:rFonts w:ascii="Arial" w:hAnsi="Arial" w:cs="Arial"/>
          <w:sz w:val="20"/>
          <w:szCs w:val="20"/>
        </w:rPr>
        <w:t xml:space="preserve">risk </w:t>
      </w:r>
      <w:r w:rsidRPr="00D12104">
        <w:rPr>
          <w:rFonts w:ascii="Arial" w:hAnsi="Arial" w:cs="Arial"/>
          <w:sz w:val="20"/>
          <w:szCs w:val="20"/>
        </w:rPr>
        <w:t xml:space="preserve">is to </w:t>
      </w:r>
      <w:r w:rsidR="00D65756" w:rsidRPr="00D12104">
        <w:rPr>
          <w:rFonts w:ascii="Arial" w:hAnsi="Arial" w:cs="Arial"/>
          <w:sz w:val="20"/>
          <w:szCs w:val="20"/>
        </w:rPr>
        <w:t xml:space="preserve">review existing </w:t>
      </w:r>
      <w:r w:rsidR="00C608FE" w:rsidRPr="00D12104">
        <w:rPr>
          <w:rFonts w:ascii="Arial" w:hAnsi="Arial" w:cs="Arial"/>
          <w:sz w:val="20"/>
          <w:szCs w:val="20"/>
        </w:rPr>
        <w:t>controls and actions and/</w:t>
      </w:r>
      <w:r w:rsidR="00D65756" w:rsidRPr="00D12104">
        <w:rPr>
          <w:rFonts w:ascii="Arial" w:hAnsi="Arial" w:cs="Arial"/>
          <w:sz w:val="20"/>
          <w:szCs w:val="20"/>
        </w:rPr>
        <w:t xml:space="preserve">or </w:t>
      </w:r>
      <w:r w:rsidRPr="00D12104">
        <w:rPr>
          <w:rFonts w:ascii="Arial" w:hAnsi="Arial" w:cs="Arial"/>
          <w:sz w:val="20"/>
          <w:szCs w:val="20"/>
        </w:rPr>
        <w:t>implement</w:t>
      </w:r>
      <w:r w:rsidR="005A15F0" w:rsidRPr="00D12104">
        <w:rPr>
          <w:rFonts w:ascii="Arial" w:hAnsi="Arial" w:cs="Arial"/>
          <w:sz w:val="20"/>
          <w:szCs w:val="20"/>
        </w:rPr>
        <w:t xml:space="preserve"> </w:t>
      </w:r>
      <w:r w:rsidR="00D65756" w:rsidRPr="00D12104">
        <w:rPr>
          <w:rFonts w:ascii="Arial" w:hAnsi="Arial" w:cs="Arial"/>
          <w:sz w:val="20"/>
          <w:szCs w:val="20"/>
        </w:rPr>
        <w:t xml:space="preserve">new </w:t>
      </w:r>
      <w:r w:rsidR="005A15F0" w:rsidRPr="00D12104">
        <w:rPr>
          <w:rFonts w:ascii="Arial" w:hAnsi="Arial" w:cs="Arial"/>
          <w:sz w:val="20"/>
          <w:szCs w:val="20"/>
        </w:rPr>
        <w:t>controls and actions</w:t>
      </w:r>
      <w:r w:rsidR="009775FE" w:rsidRPr="00D12104">
        <w:rPr>
          <w:rFonts w:ascii="Arial" w:hAnsi="Arial" w:cs="Arial"/>
          <w:sz w:val="20"/>
          <w:szCs w:val="20"/>
        </w:rPr>
        <w:t>,</w:t>
      </w:r>
      <w:r w:rsidR="005A15F0" w:rsidRPr="00D12104">
        <w:rPr>
          <w:rFonts w:ascii="Arial" w:hAnsi="Arial" w:cs="Arial"/>
          <w:sz w:val="20"/>
          <w:szCs w:val="20"/>
        </w:rPr>
        <w:t xml:space="preserve"> to maintain or modify the likelihood and</w:t>
      </w:r>
      <w:r w:rsidR="00D62A96" w:rsidRPr="00D12104">
        <w:rPr>
          <w:rFonts w:ascii="Arial" w:hAnsi="Arial" w:cs="Arial"/>
          <w:sz w:val="20"/>
          <w:szCs w:val="20"/>
        </w:rPr>
        <w:t>/or</w:t>
      </w:r>
      <w:r w:rsidR="005A15F0" w:rsidRPr="00D12104">
        <w:rPr>
          <w:rFonts w:ascii="Arial" w:hAnsi="Arial" w:cs="Arial"/>
          <w:sz w:val="20"/>
          <w:szCs w:val="20"/>
        </w:rPr>
        <w:t xml:space="preserve"> the consequence of a risk</w:t>
      </w:r>
      <w:r w:rsidR="00516820" w:rsidRPr="00D12104">
        <w:rPr>
          <w:rFonts w:ascii="Arial" w:hAnsi="Arial" w:cs="Arial"/>
          <w:sz w:val="20"/>
          <w:szCs w:val="20"/>
        </w:rPr>
        <w:t>.</w:t>
      </w:r>
      <w:r w:rsidR="00D62A96" w:rsidRPr="00D12104">
        <w:rPr>
          <w:rFonts w:ascii="Arial" w:hAnsi="Arial" w:cs="Arial"/>
          <w:sz w:val="20"/>
          <w:szCs w:val="20"/>
        </w:rPr>
        <w:t xml:space="preserve"> </w:t>
      </w:r>
    </w:p>
    <w:p w14:paraId="4C9E044A" w14:textId="4728A8BD" w:rsidR="005A15F0" w:rsidRPr="00D12104" w:rsidRDefault="00605FC0" w:rsidP="0086049C">
      <w:pPr>
        <w:spacing w:before="120" w:after="120" w:line="240" w:lineRule="auto"/>
        <w:rPr>
          <w:rFonts w:ascii="Arial" w:hAnsi="Arial" w:cs="Arial"/>
          <w:sz w:val="20"/>
          <w:szCs w:val="20"/>
          <w:lang w:val="en-AU"/>
        </w:rPr>
      </w:pPr>
      <w:r w:rsidRPr="00D12104">
        <w:rPr>
          <w:rFonts w:ascii="Arial" w:hAnsi="Arial" w:cs="Arial"/>
          <w:sz w:val="20"/>
          <w:szCs w:val="20"/>
        </w:rPr>
        <w:t>When planning an appropriate and effective response, it</w:t>
      </w:r>
      <w:r w:rsidR="00D62A96" w:rsidRPr="00D12104">
        <w:rPr>
          <w:rFonts w:ascii="Arial" w:hAnsi="Arial" w:cs="Arial"/>
          <w:sz w:val="20"/>
          <w:szCs w:val="20"/>
          <w:lang w:val="en-AU"/>
        </w:rPr>
        <w:t xml:space="preserve"> is important to understand the difference between controls and actions. </w:t>
      </w:r>
    </w:p>
    <w:p w14:paraId="6AE5F126" w14:textId="22E602D2" w:rsidR="00D62A96" w:rsidRPr="00A621A0" w:rsidRDefault="00D62A96" w:rsidP="0086049C">
      <w:pPr>
        <w:pStyle w:val="ListParagraph"/>
        <w:numPr>
          <w:ilvl w:val="0"/>
          <w:numId w:val="19"/>
        </w:numPr>
        <w:spacing w:before="120" w:after="120"/>
        <w:rPr>
          <w:rFonts w:ascii="Arial" w:hAnsi="Arial" w:cs="Arial"/>
          <w:sz w:val="20"/>
          <w:szCs w:val="20"/>
        </w:rPr>
      </w:pPr>
      <w:r w:rsidRPr="00A621A0">
        <w:rPr>
          <w:rFonts w:ascii="Arial" w:hAnsi="Arial" w:cs="Arial"/>
          <w:b/>
          <w:sz w:val="20"/>
          <w:szCs w:val="20"/>
        </w:rPr>
        <w:t>Controls</w:t>
      </w:r>
      <w:r w:rsidRPr="00A621A0">
        <w:rPr>
          <w:rFonts w:ascii="Arial" w:hAnsi="Arial" w:cs="Arial"/>
          <w:sz w:val="20"/>
          <w:szCs w:val="20"/>
        </w:rPr>
        <w:t xml:space="preserve"> are an existing </w:t>
      </w:r>
      <w:r w:rsidR="00342C3C" w:rsidRPr="006F6E99">
        <w:rPr>
          <w:rFonts w:ascii="Arial" w:hAnsi="Arial" w:cs="Arial"/>
          <w:sz w:val="20"/>
          <w:szCs w:val="20"/>
        </w:rPr>
        <w:t>strategy</w:t>
      </w:r>
      <w:r w:rsidRPr="00A621A0">
        <w:rPr>
          <w:rFonts w:ascii="Arial" w:hAnsi="Arial" w:cs="Arial"/>
          <w:sz w:val="20"/>
          <w:szCs w:val="20"/>
        </w:rPr>
        <w:t xml:space="preserve"> used to maintain or modify a risk and may include any process, policy or practice and are an ongoing function of the business</w:t>
      </w:r>
    </w:p>
    <w:p w14:paraId="2C5C3615" w14:textId="0AC6F5FE" w:rsidR="00D62A96" w:rsidRPr="006F6E99" w:rsidRDefault="00D62A96" w:rsidP="0086049C">
      <w:pPr>
        <w:pStyle w:val="ListParagraph"/>
        <w:numPr>
          <w:ilvl w:val="0"/>
          <w:numId w:val="19"/>
        </w:numPr>
        <w:spacing w:before="120" w:after="120"/>
        <w:rPr>
          <w:rFonts w:ascii="Arial" w:hAnsi="Arial" w:cs="Arial"/>
          <w:sz w:val="20"/>
          <w:szCs w:val="20"/>
        </w:rPr>
      </w:pPr>
      <w:r w:rsidRPr="00A621A0">
        <w:rPr>
          <w:rFonts w:ascii="Arial" w:hAnsi="Arial" w:cs="Arial"/>
          <w:b/>
          <w:sz w:val="20"/>
          <w:szCs w:val="20"/>
        </w:rPr>
        <w:t>Actions</w:t>
      </w:r>
      <w:r w:rsidRPr="00A621A0">
        <w:rPr>
          <w:rFonts w:ascii="Arial" w:hAnsi="Arial" w:cs="Arial"/>
          <w:sz w:val="20"/>
          <w:szCs w:val="20"/>
        </w:rPr>
        <w:t xml:space="preserve"> are </w:t>
      </w:r>
      <w:r w:rsidR="0027741E" w:rsidRPr="006F6E99">
        <w:rPr>
          <w:rFonts w:ascii="Arial" w:hAnsi="Arial" w:cs="Arial"/>
          <w:sz w:val="20"/>
          <w:szCs w:val="20"/>
        </w:rPr>
        <w:t xml:space="preserve">a </w:t>
      </w:r>
      <w:r w:rsidRPr="00A621A0">
        <w:rPr>
          <w:rFonts w:ascii="Arial" w:hAnsi="Arial" w:cs="Arial"/>
          <w:sz w:val="20"/>
          <w:szCs w:val="20"/>
        </w:rPr>
        <w:t>new planned</w:t>
      </w:r>
      <w:r w:rsidR="0027741E" w:rsidRPr="006F6E99">
        <w:rPr>
          <w:rFonts w:ascii="Arial" w:hAnsi="Arial" w:cs="Arial"/>
          <w:sz w:val="20"/>
          <w:szCs w:val="20"/>
        </w:rPr>
        <w:t xml:space="preserve">, temporary </w:t>
      </w:r>
      <w:r w:rsidR="00342C3C" w:rsidRPr="006F6E99">
        <w:rPr>
          <w:rFonts w:ascii="Arial" w:hAnsi="Arial" w:cs="Arial"/>
          <w:sz w:val="20"/>
          <w:szCs w:val="20"/>
        </w:rPr>
        <w:t>strategy</w:t>
      </w:r>
      <w:r w:rsidRPr="00A621A0">
        <w:rPr>
          <w:rFonts w:ascii="Arial" w:hAnsi="Arial" w:cs="Arial"/>
          <w:sz w:val="20"/>
          <w:szCs w:val="20"/>
        </w:rPr>
        <w:t xml:space="preserve"> </w:t>
      </w:r>
      <w:r w:rsidR="00112818" w:rsidRPr="006F6E99">
        <w:rPr>
          <w:rFonts w:ascii="Arial" w:hAnsi="Arial" w:cs="Arial"/>
          <w:sz w:val="20"/>
          <w:szCs w:val="20"/>
        </w:rPr>
        <w:t xml:space="preserve">applied </w:t>
      </w:r>
      <w:r w:rsidRPr="00A621A0">
        <w:rPr>
          <w:rFonts w:ascii="Arial" w:hAnsi="Arial" w:cs="Arial"/>
          <w:sz w:val="20"/>
          <w:szCs w:val="20"/>
        </w:rPr>
        <w:t xml:space="preserve">to </w:t>
      </w:r>
      <w:r w:rsidR="00112818" w:rsidRPr="006F6E99">
        <w:rPr>
          <w:rFonts w:ascii="Arial" w:hAnsi="Arial" w:cs="Arial"/>
          <w:sz w:val="20"/>
          <w:szCs w:val="20"/>
        </w:rPr>
        <w:t>maintain or achieve</w:t>
      </w:r>
      <w:r w:rsidRPr="00A621A0">
        <w:rPr>
          <w:rFonts w:ascii="Arial" w:hAnsi="Arial" w:cs="Arial"/>
          <w:sz w:val="20"/>
          <w:szCs w:val="20"/>
        </w:rPr>
        <w:t xml:space="preserve"> </w:t>
      </w:r>
      <w:r w:rsidR="0027343D" w:rsidRPr="00A621A0">
        <w:rPr>
          <w:rFonts w:ascii="Arial" w:hAnsi="Arial" w:cs="Arial"/>
          <w:sz w:val="20"/>
          <w:szCs w:val="20"/>
        </w:rPr>
        <w:t>the target level</w:t>
      </w:r>
      <w:r w:rsidR="0027343D" w:rsidRPr="006F6E99">
        <w:rPr>
          <w:rFonts w:ascii="Arial" w:hAnsi="Arial" w:cs="Arial"/>
          <w:sz w:val="20"/>
          <w:szCs w:val="20"/>
        </w:rPr>
        <w:t xml:space="preserve"> </w:t>
      </w:r>
      <w:r w:rsidR="00112818" w:rsidRPr="006F6E99">
        <w:rPr>
          <w:rFonts w:ascii="Arial" w:hAnsi="Arial" w:cs="Arial"/>
          <w:sz w:val="20"/>
          <w:szCs w:val="20"/>
        </w:rPr>
        <w:t>of risk after controls are applied. Actions</w:t>
      </w:r>
      <w:r w:rsidR="0027343D" w:rsidRPr="006F6E99">
        <w:rPr>
          <w:rFonts w:ascii="Arial" w:hAnsi="Arial" w:cs="Arial"/>
          <w:sz w:val="20"/>
          <w:szCs w:val="20"/>
        </w:rPr>
        <w:t xml:space="preserve"> are undertaken i</w:t>
      </w:r>
      <w:r w:rsidR="00621D9E" w:rsidRPr="006F6E99">
        <w:rPr>
          <w:rFonts w:ascii="Arial" w:hAnsi="Arial" w:cs="Arial"/>
          <w:sz w:val="20"/>
          <w:szCs w:val="20"/>
        </w:rPr>
        <w:t>n a pre-determined time-</w:t>
      </w:r>
      <w:r w:rsidR="0027343D" w:rsidRPr="006F6E99">
        <w:rPr>
          <w:rFonts w:ascii="Arial" w:hAnsi="Arial" w:cs="Arial"/>
          <w:sz w:val="20"/>
          <w:szCs w:val="20"/>
        </w:rPr>
        <w:t>frame</w:t>
      </w:r>
    </w:p>
    <w:p w14:paraId="4B790329" w14:textId="7D2CFD3E" w:rsidR="0027343D" w:rsidRDefault="00D65756" w:rsidP="0086049C">
      <w:pPr>
        <w:pStyle w:val="ListParagraph"/>
        <w:numPr>
          <w:ilvl w:val="0"/>
          <w:numId w:val="19"/>
        </w:numPr>
        <w:spacing w:before="120" w:after="120"/>
        <w:rPr>
          <w:rFonts w:ascii="Arial" w:hAnsi="Arial" w:cs="Arial"/>
          <w:sz w:val="20"/>
          <w:szCs w:val="20"/>
        </w:rPr>
      </w:pPr>
      <w:r w:rsidRPr="00A621A0">
        <w:rPr>
          <w:rFonts w:ascii="Arial" w:hAnsi="Arial" w:cs="Arial"/>
          <w:sz w:val="20"/>
          <w:szCs w:val="20"/>
        </w:rPr>
        <w:t>An</w:t>
      </w:r>
      <w:r w:rsidRPr="006F6E99">
        <w:rPr>
          <w:rFonts w:ascii="Arial" w:hAnsi="Arial" w:cs="Arial"/>
          <w:b/>
          <w:sz w:val="20"/>
          <w:szCs w:val="20"/>
        </w:rPr>
        <w:t xml:space="preserve"> </w:t>
      </w:r>
      <w:r w:rsidR="00342C3C" w:rsidRPr="006F6E99">
        <w:rPr>
          <w:rFonts w:ascii="Arial" w:hAnsi="Arial" w:cs="Arial"/>
          <w:b/>
          <w:sz w:val="20"/>
          <w:szCs w:val="20"/>
        </w:rPr>
        <w:t>a</w:t>
      </w:r>
      <w:r w:rsidRPr="006F6E99">
        <w:rPr>
          <w:rFonts w:ascii="Arial" w:hAnsi="Arial" w:cs="Arial"/>
          <w:b/>
          <w:sz w:val="20"/>
          <w:szCs w:val="20"/>
        </w:rPr>
        <w:t>ction</w:t>
      </w:r>
      <w:r w:rsidR="00605FC0" w:rsidRPr="00A621A0">
        <w:rPr>
          <w:rFonts w:ascii="Arial" w:hAnsi="Arial" w:cs="Arial"/>
          <w:b/>
          <w:sz w:val="20"/>
          <w:szCs w:val="20"/>
        </w:rPr>
        <w:t xml:space="preserve"> can transition to </w:t>
      </w:r>
      <w:r w:rsidRPr="006F6E99">
        <w:rPr>
          <w:rFonts w:ascii="Arial" w:hAnsi="Arial" w:cs="Arial"/>
          <w:b/>
          <w:sz w:val="20"/>
          <w:szCs w:val="20"/>
        </w:rPr>
        <w:t xml:space="preserve">a </w:t>
      </w:r>
      <w:r w:rsidR="00605FC0" w:rsidRPr="00A621A0">
        <w:rPr>
          <w:rFonts w:ascii="Arial" w:hAnsi="Arial" w:cs="Arial"/>
          <w:b/>
          <w:sz w:val="20"/>
          <w:szCs w:val="20"/>
        </w:rPr>
        <w:t>control</w:t>
      </w:r>
      <w:r w:rsidR="00605FC0" w:rsidRPr="006F6E99">
        <w:rPr>
          <w:rFonts w:ascii="Arial" w:hAnsi="Arial" w:cs="Arial"/>
          <w:sz w:val="20"/>
          <w:szCs w:val="20"/>
        </w:rPr>
        <w:t xml:space="preserve"> if the </w:t>
      </w:r>
      <w:r w:rsidR="00342C3C" w:rsidRPr="006F6E99">
        <w:rPr>
          <w:rFonts w:ascii="Arial" w:hAnsi="Arial" w:cs="Arial"/>
          <w:sz w:val="20"/>
          <w:szCs w:val="20"/>
        </w:rPr>
        <w:t>strategy</w:t>
      </w:r>
      <w:r w:rsidR="00605FC0" w:rsidRPr="006F6E99">
        <w:rPr>
          <w:rFonts w:ascii="Arial" w:hAnsi="Arial" w:cs="Arial"/>
          <w:sz w:val="20"/>
          <w:szCs w:val="20"/>
        </w:rPr>
        <w:t xml:space="preserve"> becomes an ongoing function of the business</w:t>
      </w:r>
    </w:p>
    <w:p w14:paraId="5E699440" w14:textId="41157E05" w:rsidR="003C4760" w:rsidRDefault="003C4760" w:rsidP="003C4760">
      <w:pPr>
        <w:pStyle w:val="Heading2-numbered"/>
      </w:pPr>
      <w:r w:rsidRPr="003C4760">
        <w:t xml:space="preserve"> </w:t>
      </w:r>
      <w:r>
        <w:t>Control improvement</w:t>
      </w:r>
    </w:p>
    <w:p w14:paraId="70906D24" w14:textId="6BC9E8F0" w:rsidR="00321C08" w:rsidRPr="000A2B03" w:rsidRDefault="00321C08" w:rsidP="00A27779">
      <w:pPr>
        <w:pStyle w:val="Bodycopy"/>
        <w:spacing w:line="200" w:lineRule="exact"/>
      </w:pPr>
      <w:r>
        <w:t>Improving controls is an essential part of risk management. Control improvement includes five elements:</w:t>
      </w:r>
    </w:p>
    <w:p w14:paraId="609DA046" w14:textId="26C7C7BB" w:rsidR="000A2B03" w:rsidRDefault="0083624D" w:rsidP="000A2B03">
      <w:pPr>
        <w:pStyle w:val="Heading2-numbered"/>
        <w:numPr>
          <w:ilvl w:val="0"/>
          <w:numId w:val="0"/>
        </w:numPr>
        <w:ind w:left="426"/>
      </w:pPr>
      <w:r>
        <w:rPr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0DBDD6" wp14:editId="5B806844">
                <wp:simplePos x="0" y="0"/>
                <wp:positionH relativeFrom="column">
                  <wp:posOffset>3496945</wp:posOffset>
                </wp:positionH>
                <wp:positionV relativeFrom="paragraph">
                  <wp:posOffset>121285</wp:posOffset>
                </wp:positionV>
                <wp:extent cx="2858770" cy="27165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48CD" w14:textId="6D3CAB29" w:rsidR="0083624D" w:rsidRPr="00D12104" w:rsidRDefault="0083624D" w:rsidP="0083624D">
                            <w:pPr>
                              <w:adjustRightInd w:val="0"/>
                              <w:snapToGrid w:val="0"/>
                              <w:spacing w:before="40" w:after="4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2E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Leadership and commitment</w:t>
                            </w:r>
                            <w:r w:rsidRPr="00D121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- </w:t>
                            </w:r>
                            <w:r w:rsidR="00321C08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D12104">
                              <w:rPr>
                                <w:rFonts w:ascii="Arial" w:hAnsi="Arial" w:cs="Arial"/>
                                <w:sz w:val="20"/>
                              </w:rPr>
                              <w:t>isk and control owners are committed to improving the effectiveness of controls applied to risks</w:t>
                            </w:r>
                          </w:p>
                          <w:p w14:paraId="349FAC14" w14:textId="6C6A6EF4" w:rsidR="0083624D" w:rsidRPr="00D12104" w:rsidRDefault="0083624D" w:rsidP="0083624D">
                            <w:pPr>
                              <w:adjustRightInd w:val="0"/>
                              <w:snapToGrid w:val="0"/>
                              <w:spacing w:before="40" w:after="4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2E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Design</w:t>
                            </w:r>
                            <w:r w:rsidRPr="00D121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- </w:t>
                            </w:r>
                            <w:r w:rsidR="00321C08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D12104">
                              <w:rPr>
                                <w:rFonts w:ascii="Arial" w:hAnsi="Arial" w:cs="Arial"/>
                                <w:sz w:val="20"/>
                              </w:rPr>
                              <w:t xml:space="preserve">ontrols are designed based on an understanding of the department’s operating environment, they manage risks effectively and are cost effective </w:t>
                            </w:r>
                          </w:p>
                          <w:p w14:paraId="6C99394E" w14:textId="23987B9F" w:rsidR="0083624D" w:rsidRPr="00D12104" w:rsidRDefault="0083624D" w:rsidP="0083624D">
                            <w:pPr>
                              <w:adjustRightInd w:val="0"/>
                              <w:snapToGrid w:val="0"/>
                              <w:spacing w:before="40" w:after="4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2E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Implement</w:t>
                            </w:r>
                            <w:r w:rsidRPr="00D121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- </w:t>
                            </w:r>
                            <w:r w:rsidR="00321C08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D12104">
                              <w:rPr>
                                <w:rFonts w:ascii="Arial" w:hAnsi="Arial" w:cs="Arial"/>
                                <w:sz w:val="20"/>
                              </w:rPr>
                              <w:t>ontrols are documented, implemented and communicated to staff and, where appropriate, training is provided</w:t>
                            </w:r>
                          </w:p>
                          <w:p w14:paraId="4D384E76" w14:textId="62F2B3F2" w:rsidR="0083624D" w:rsidRPr="00D12104" w:rsidRDefault="0083624D" w:rsidP="0083624D">
                            <w:pPr>
                              <w:adjustRightInd w:val="0"/>
                              <w:snapToGrid w:val="0"/>
                              <w:spacing w:before="40" w:after="4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2E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Evaluate</w:t>
                            </w:r>
                            <w:r w:rsidRPr="00D121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- </w:t>
                            </w:r>
                            <w:r w:rsidR="00321C08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D12104">
                              <w:rPr>
                                <w:rFonts w:ascii="Arial" w:hAnsi="Arial" w:cs="Arial"/>
                                <w:sz w:val="20"/>
                              </w:rPr>
                              <w:t>ontrol performance is periodically measured against intended purpose to ensure risks are managed effectively</w:t>
                            </w:r>
                          </w:p>
                          <w:p w14:paraId="0426D8B7" w14:textId="51AA1D50" w:rsidR="0083624D" w:rsidRPr="00D12104" w:rsidRDefault="0083624D" w:rsidP="0083624D">
                            <w:pPr>
                              <w:adjustRightInd w:val="0"/>
                              <w:snapToGrid w:val="0"/>
                              <w:spacing w:before="40" w:after="4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2E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Improve</w:t>
                            </w:r>
                            <w:r w:rsidRPr="00D121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- </w:t>
                            </w:r>
                            <w:r w:rsidR="00321C08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D12104">
                              <w:rPr>
                                <w:rFonts w:ascii="Arial" w:hAnsi="Arial" w:cs="Arial"/>
                                <w:sz w:val="20"/>
                              </w:rPr>
                              <w:t>ontrols are monitored and enhanced to address changes in risks and to ensure controls are suitable, adequate and effective in maintaining or modifying risk levels</w:t>
                            </w:r>
                          </w:p>
                          <w:p w14:paraId="510B6762" w14:textId="3CA78A22" w:rsidR="0083624D" w:rsidRDefault="00836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BDD6" id="Text Box 2" o:spid="_x0000_s1027" type="#_x0000_t202" style="position:absolute;left:0;text-align:left;margin-left:275.35pt;margin-top:9.55pt;width:225.1pt;height:213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luJAIAACU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" stroked="f">
                <v:textbox>
                  <w:txbxContent>
                    <w:p w14:paraId="4AB248CD" w14:textId="6D3CAB29" w:rsidR="0083624D" w:rsidRPr="00D12104" w:rsidRDefault="0083624D" w:rsidP="0083624D">
                      <w:pPr>
                        <w:adjustRightInd w:val="0"/>
                        <w:snapToGrid w:val="0"/>
                        <w:spacing w:before="40" w:after="4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92EF3">
                        <w:rPr>
                          <w:rFonts w:ascii="Arial" w:hAnsi="Arial" w:cs="Arial"/>
                          <w:b/>
                          <w:sz w:val="20"/>
                        </w:rPr>
                        <w:t>Leadership and commitment</w:t>
                      </w:r>
                      <w:r w:rsidRPr="00D1210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- </w:t>
                      </w:r>
                      <w:r w:rsidR="00321C08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D12104">
                        <w:rPr>
                          <w:rFonts w:ascii="Arial" w:hAnsi="Arial" w:cs="Arial"/>
                          <w:sz w:val="20"/>
                        </w:rPr>
                        <w:t>isk and control owners are committed to improving the effectiveness of controls applied to risks</w:t>
                      </w:r>
                    </w:p>
                    <w:p w14:paraId="349FAC14" w14:textId="6C6A6EF4" w:rsidR="0083624D" w:rsidRPr="00D12104" w:rsidRDefault="0083624D" w:rsidP="0083624D">
                      <w:pPr>
                        <w:adjustRightInd w:val="0"/>
                        <w:snapToGrid w:val="0"/>
                        <w:spacing w:before="40" w:after="4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92EF3">
                        <w:rPr>
                          <w:rFonts w:ascii="Arial" w:hAnsi="Arial" w:cs="Arial"/>
                          <w:b/>
                          <w:sz w:val="20"/>
                        </w:rPr>
                        <w:t>Design</w:t>
                      </w:r>
                      <w:r w:rsidRPr="00D1210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- </w:t>
                      </w:r>
                      <w:r w:rsidR="00321C08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D12104">
                        <w:rPr>
                          <w:rFonts w:ascii="Arial" w:hAnsi="Arial" w:cs="Arial"/>
                          <w:sz w:val="20"/>
                        </w:rPr>
                        <w:t xml:space="preserve">ontrols are designed based on an understanding of the department’s operating environment, they manage risks effectively and are cost effective </w:t>
                      </w:r>
                    </w:p>
                    <w:p w14:paraId="6C99394E" w14:textId="23987B9F" w:rsidR="0083624D" w:rsidRPr="00D12104" w:rsidRDefault="0083624D" w:rsidP="0083624D">
                      <w:pPr>
                        <w:adjustRightInd w:val="0"/>
                        <w:snapToGrid w:val="0"/>
                        <w:spacing w:before="40" w:after="4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92EF3">
                        <w:rPr>
                          <w:rFonts w:ascii="Arial" w:hAnsi="Arial" w:cs="Arial"/>
                          <w:b/>
                          <w:sz w:val="20"/>
                        </w:rPr>
                        <w:t>Implement</w:t>
                      </w:r>
                      <w:r w:rsidRPr="00D1210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- </w:t>
                      </w:r>
                      <w:r w:rsidR="00321C08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D12104">
                        <w:rPr>
                          <w:rFonts w:ascii="Arial" w:hAnsi="Arial" w:cs="Arial"/>
                          <w:sz w:val="20"/>
                        </w:rPr>
                        <w:t>ontrols are documented, implemented and communicated to staff and, where appropriate, training is provided</w:t>
                      </w:r>
                    </w:p>
                    <w:p w14:paraId="4D384E76" w14:textId="62F2B3F2" w:rsidR="0083624D" w:rsidRPr="00D12104" w:rsidRDefault="0083624D" w:rsidP="0083624D">
                      <w:pPr>
                        <w:adjustRightInd w:val="0"/>
                        <w:snapToGrid w:val="0"/>
                        <w:spacing w:before="40" w:after="4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92EF3">
                        <w:rPr>
                          <w:rFonts w:ascii="Arial" w:hAnsi="Arial" w:cs="Arial"/>
                          <w:b/>
                          <w:sz w:val="20"/>
                        </w:rPr>
                        <w:t>Evaluate</w:t>
                      </w:r>
                      <w:r w:rsidRPr="00D1210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- </w:t>
                      </w:r>
                      <w:r w:rsidR="00321C08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D12104">
                        <w:rPr>
                          <w:rFonts w:ascii="Arial" w:hAnsi="Arial" w:cs="Arial"/>
                          <w:sz w:val="20"/>
                        </w:rPr>
                        <w:t>ontrol performance is periodically measured against intended purpose to ensure risks are managed effectively</w:t>
                      </w:r>
                    </w:p>
                    <w:p w14:paraId="0426D8B7" w14:textId="51AA1D50" w:rsidR="0083624D" w:rsidRPr="00D12104" w:rsidRDefault="0083624D" w:rsidP="0083624D">
                      <w:pPr>
                        <w:adjustRightInd w:val="0"/>
                        <w:snapToGrid w:val="0"/>
                        <w:spacing w:before="40" w:after="4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92EF3">
                        <w:rPr>
                          <w:rFonts w:ascii="Arial" w:hAnsi="Arial" w:cs="Arial"/>
                          <w:b/>
                          <w:sz w:val="20"/>
                        </w:rPr>
                        <w:t>Improve</w:t>
                      </w:r>
                      <w:r w:rsidRPr="00D1210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- </w:t>
                      </w:r>
                      <w:r w:rsidR="00321C08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D12104">
                        <w:rPr>
                          <w:rFonts w:ascii="Arial" w:hAnsi="Arial" w:cs="Arial"/>
                          <w:sz w:val="20"/>
                        </w:rPr>
                        <w:t>ontrols are monitored and enhanced to address changes in risks and to ensure controls are suitable, adequate and effective in maintaining or modifying risk levels</w:t>
                      </w:r>
                    </w:p>
                    <w:p w14:paraId="510B6762" w14:textId="3CA78A22" w:rsidR="0083624D" w:rsidRDefault="0083624D"/>
                  </w:txbxContent>
                </v:textbox>
                <w10:wrap type="square"/>
              </v:shape>
            </w:pict>
          </mc:Fallback>
        </mc:AlternateContent>
      </w:r>
      <w:r w:rsidRPr="0083624D">
        <w:rPr>
          <w:noProof/>
          <w:lang w:val="en-AU" w:eastAsia="zh-CN"/>
        </w:rPr>
        <w:drawing>
          <wp:inline distT="0" distB="0" distL="0" distR="0" wp14:anchorId="3FAF1C24" wp14:editId="51BF6229">
            <wp:extent cx="2709334" cy="2709334"/>
            <wp:effectExtent l="0" t="0" r="0" b="0"/>
            <wp:docPr id="3" name="Picture 3" descr="C:\Users\lxega0\AppData\Local\Microsoft\Windows\INetCache\Content.Outlook\2W04D8ZV\37142_Control_improvement_diagram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ega0\AppData\Local\Microsoft\Windows\INetCache\Content.Outlook\2W04D8ZV\37142_Control_improvement_diagram_v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79" cy="271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10E2" w14:textId="7A74C6DF" w:rsidR="00A204C7" w:rsidRPr="00CE4FB7" w:rsidRDefault="00A204C7" w:rsidP="00F87D9F">
      <w:pPr>
        <w:pStyle w:val="Heading2-numbered"/>
        <w:rPr>
          <w:i/>
        </w:rPr>
      </w:pPr>
      <w:r w:rsidRPr="00CE4FB7">
        <w:t xml:space="preserve">Improving </w:t>
      </w:r>
      <w:r w:rsidR="00D811BC" w:rsidRPr="00CE4FB7">
        <w:t>c</w:t>
      </w:r>
      <w:r w:rsidRPr="00CE4FB7">
        <w:t xml:space="preserve">ontrol </w:t>
      </w:r>
      <w:r w:rsidR="00D811BC" w:rsidRPr="00CE4FB7">
        <w:t>e</w:t>
      </w:r>
      <w:r w:rsidRPr="00CE4FB7">
        <w:t>ffectiveness</w:t>
      </w:r>
      <w:r w:rsidR="00913C51" w:rsidRPr="00CE4FB7">
        <w:t xml:space="preserve"> and </w:t>
      </w:r>
      <w:r w:rsidR="00D811BC" w:rsidRPr="00CE4FB7">
        <w:t>a</w:t>
      </w:r>
      <w:r w:rsidR="00913C51" w:rsidRPr="00CE4FB7">
        <w:t>ssurance</w:t>
      </w:r>
    </w:p>
    <w:p w14:paraId="1FCB66F9" w14:textId="7CEE8D79" w:rsidR="00A204C7" w:rsidRPr="00D12104" w:rsidRDefault="00152FA6" w:rsidP="00A27779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An effective control is one that performs to specification, functional requirements and expected standards to achieve the desired effect of </w:t>
      </w:r>
      <w:r w:rsidR="00935A87" w:rsidRPr="00D12104">
        <w:rPr>
          <w:rFonts w:ascii="Arial" w:hAnsi="Arial" w:cs="Arial"/>
          <w:sz w:val="20"/>
          <w:szCs w:val="20"/>
        </w:rPr>
        <w:t xml:space="preserve">maintaining or modifying </w:t>
      </w:r>
      <w:r w:rsidRPr="00D12104">
        <w:rPr>
          <w:rFonts w:ascii="Arial" w:hAnsi="Arial" w:cs="Arial"/>
          <w:sz w:val="20"/>
          <w:szCs w:val="20"/>
        </w:rPr>
        <w:t xml:space="preserve">the likelihood </w:t>
      </w:r>
      <w:r w:rsidR="00523C8B" w:rsidRPr="00D12104">
        <w:rPr>
          <w:rFonts w:ascii="Arial" w:hAnsi="Arial" w:cs="Arial"/>
          <w:sz w:val="20"/>
          <w:szCs w:val="20"/>
        </w:rPr>
        <w:t>and/</w:t>
      </w:r>
      <w:r w:rsidRPr="00D12104">
        <w:rPr>
          <w:rFonts w:ascii="Arial" w:hAnsi="Arial" w:cs="Arial"/>
          <w:sz w:val="20"/>
          <w:szCs w:val="20"/>
        </w:rPr>
        <w:t>or consequences of the risk. Control assurance refers to the confidence that the control is operating effectively through formal testing undertaken by an independent reviewer</w:t>
      </w:r>
      <w:r w:rsidR="00913C51" w:rsidRPr="00D12104">
        <w:rPr>
          <w:rFonts w:ascii="Arial" w:hAnsi="Arial" w:cs="Arial"/>
          <w:sz w:val="20"/>
          <w:szCs w:val="20"/>
        </w:rPr>
        <w:t>. Controls</w:t>
      </w:r>
      <w:r w:rsidR="00A204C7" w:rsidRPr="00D12104">
        <w:rPr>
          <w:rFonts w:ascii="Arial" w:hAnsi="Arial" w:cs="Arial"/>
          <w:sz w:val="20"/>
          <w:szCs w:val="20"/>
        </w:rPr>
        <w:t xml:space="preserve"> can be </w:t>
      </w:r>
      <w:r w:rsidRPr="00D12104">
        <w:rPr>
          <w:rFonts w:ascii="Arial" w:hAnsi="Arial" w:cs="Arial"/>
          <w:sz w:val="20"/>
          <w:szCs w:val="20"/>
        </w:rPr>
        <w:t xml:space="preserve">clarified and </w:t>
      </w:r>
      <w:r w:rsidR="00A204C7" w:rsidRPr="00D12104">
        <w:rPr>
          <w:rFonts w:ascii="Arial" w:hAnsi="Arial" w:cs="Arial"/>
          <w:sz w:val="20"/>
          <w:szCs w:val="20"/>
        </w:rPr>
        <w:t>improved by:</w:t>
      </w:r>
    </w:p>
    <w:p w14:paraId="593A3320" w14:textId="322EA469" w:rsidR="00A204C7" w:rsidRPr="00D12104" w:rsidRDefault="00CE4FB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ensuring </w:t>
      </w:r>
      <w:r w:rsidR="00A204C7" w:rsidRPr="00D12104">
        <w:rPr>
          <w:rFonts w:ascii="Arial" w:hAnsi="Arial" w:cs="Arial"/>
          <w:sz w:val="20"/>
          <w:szCs w:val="20"/>
        </w:rPr>
        <w:t xml:space="preserve">control descriptions emphasise how </w:t>
      </w:r>
      <w:r w:rsidR="00D12104">
        <w:rPr>
          <w:rFonts w:ascii="Arial" w:hAnsi="Arial" w:cs="Arial"/>
          <w:sz w:val="20"/>
          <w:szCs w:val="20"/>
        </w:rPr>
        <w:t xml:space="preserve">the </w:t>
      </w:r>
      <w:r w:rsidR="00A204C7" w:rsidRPr="00D12104">
        <w:rPr>
          <w:rFonts w:ascii="Arial" w:hAnsi="Arial" w:cs="Arial"/>
          <w:sz w:val="20"/>
          <w:szCs w:val="20"/>
        </w:rPr>
        <w:t xml:space="preserve">control modifies the risk, using the formula: </w:t>
      </w:r>
      <w:r w:rsidR="00A204C7" w:rsidRPr="00D12104">
        <w:rPr>
          <w:rFonts w:ascii="Arial" w:hAnsi="Arial" w:cs="Arial"/>
          <w:i/>
          <w:sz w:val="20"/>
          <w:szCs w:val="20"/>
        </w:rPr>
        <w:t xml:space="preserve">the </w:t>
      </w:r>
      <w:r w:rsidR="00745257" w:rsidRPr="00D12104">
        <w:rPr>
          <w:rFonts w:ascii="Arial" w:hAnsi="Arial" w:cs="Arial"/>
          <w:sz w:val="20"/>
          <w:szCs w:val="20"/>
        </w:rPr>
        <w:t xml:space="preserve">strategy </w:t>
      </w:r>
      <w:r w:rsidR="00A204C7" w:rsidRPr="00D12104">
        <w:rPr>
          <w:rFonts w:ascii="Arial" w:hAnsi="Arial" w:cs="Arial"/>
          <w:sz w:val="20"/>
          <w:szCs w:val="20"/>
        </w:rPr>
        <w:t xml:space="preserve">(e.g. committee) + </w:t>
      </w:r>
      <w:r w:rsidR="00A204C7" w:rsidRPr="00D12104">
        <w:rPr>
          <w:rFonts w:ascii="Arial" w:hAnsi="Arial" w:cs="Arial"/>
          <w:i/>
          <w:sz w:val="20"/>
          <w:szCs w:val="20"/>
        </w:rPr>
        <w:t xml:space="preserve">how it </w:t>
      </w:r>
      <w:r w:rsidR="00935A87" w:rsidRPr="00D12104">
        <w:rPr>
          <w:rFonts w:ascii="Arial" w:hAnsi="Arial" w:cs="Arial"/>
          <w:i/>
          <w:sz w:val="20"/>
          <w:szCs w:val="20"/>
        </w:rPr>
        <w:t xml:space="preserve">effectively manages </w:t>
      </w:r>
      <w:r w:rsidR="00A204C7" w:rsidRPr="00D12104">
        <w:rPr>
          <w:rFonts w:ascii="Arial" w:hAnsi="Arial" w:cs="Arial"/>
          <w:i/>
          <w:sz w:val="20"/>
          <w:szCs w:val="20"/>
        </w:rPr>
        <w:t>the risk</w:t>
      </w:r>
      <w:r w:rsidR="00A204C7" w:rsidRPr="00D12104">
        <w:rPr>
          <w:rFonts w:ascii="Arial" w:hAnsi="Arial" w:cs="Arial"/>
          <w:sz w:val="20"/>
          <w:szCs w:val="20"/>
        </w:rPr>
        <w:t xml:space="preserve"> (e.g</w:t>
      </w:r>
      <w:r w:rsidR="00F4618F">
        <w:rPr>
          <w:rFonts w:ascii="Arial" w:hAnsi="Arial" w:cs="Arial"/>
          <w:sz w:val="20"/>
          <w:szCs w:val="20"/>
        </w:rPr>
        <w:t>.</w:t>
      </w:r>
      <w:r w:rsidR="00A204C7" w:rsidRPr="00D12104">
        <w:rPr>
          <w:rFonts w:ascii="Arial" w:hAnsi="Arial" w:cs="Arial"/>
          <w:sz w:val="20"/>
          <w:szCs w:val="20"/>
        </w:rPr>
        <w:t xml:space="preserve"> scrutinises performance reports) + </w:t>
      </w:r>
      <w:r w:rsidR="00A204C7" w:rsidRPr="00D12104">
        <w:rPr>
          <w:rFonts w:ascii="Arial" w:hAnsi="Arial" w:cs="Arial"/>
          <w:i/>
          <w:sz w:val="20"/>
          <w:szCs w:val="20"/>
        </w:rPr>
        <w:t>a KPI</w:t>
      </w:r>
      <w:r w:rsidR="00A204C7" w:rsidRPr="00D12104">
        <w:rPr>
          <w:rFonts w:ascii="Arial" w:hAnsi="Arial" w:cs="Arial"/>
          <w:sz w:val="20"/>
          <w:szCs w:val="20"/>
        </w:rPr>
        <w:t xml:space="preserve"> (e.g. quarterly)</w:t>
      </w:r>
    </w:p>
    <w:p w14:paraId="28C83635" w14:textId="77777777" w:rsidR="00A204C7" w:rsidRPr="00D12104" w:rsidRDefault="00A204C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>ensuring controls are formally documented and communicated to staff</w:t>
      </w:r>
    </w:p>
    <w:p w14:paraId="23D45218" w14:textId="42660D96" w:rsidR="00A204C7" w:rsidRPr="00D12104" w:rsidRDefault="00A204C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seeking </w:t>
      </w:r>
      <w:r w:rsidR="00935A87" w:rsidRPr="00D12104">
        <w:rPr>
          <w:rFonts w:ascii="Arial" w:hAnsi="Arial" w:cs="Arial"/>
          <w:sz w:val="20"/>
          <w:szCs w:val="20"/>
        </w:rPr>
        <w:t xml:space="preserve">stakeholder </w:t>
      </w:r>
      <w:r w:rsidRPr="00D12104">
        <w:rPr>
          <w:rFonts w:ascii="Arial" w:hAnsi="Arial" w:cs="Arial"/>
          <w:sz w:val="20"/>
          <w:szCs w:val="20"/>
        </w:rPr>
        <w:t>feedback on the performance of controls and possible areas for improvement</w:t>
      </w:r>
    </w:p>
    <w:p w14:paraId="235E1719" w14:textId="61CFCB2C" w:rsidR="001B47D6" w:rsidRPr="00D12104" w:rsidRDefault="00136640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establishing monitoring </w:t>
      </w:r>
      <w:r w:rsidR="00A204C7" w:rsidRPr="00D12104">
        <w:rPr>
          <w:rFonts w:ascii="Arial" w:hAnsi="Arial" w:cs="Arial"/>
          <w:sz w:val="20"/>
          <w:szCs w:val="20"/>
        </w:rPr>
        <w:t>processes</w:t>
      </w:r>
    </w:p>
    <w:p w14:paraId="6BA8CC48" w14:textId="3CC90A28" w:rsidR="00A204C7" w:rsidRDefault="00A204C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engaging </w:t>
      </w:r>
      <w:r w:rsidR="001B47D6" w:rsidRPr="00D12104">
        <w:rPr>
          <w:rFonts w:ascii="Arial" w:hAnsi="Arial" w:cs="Arial"/>
          <w:sz w:val="20"/>
          <w:szCs w:val="20"/>
        </w:rPr>
        <w:t xml:space="preserve">a control </w:t>
      </w:r>
      <w:r w:rsidRPr="00D12104">
        <w:rPr>
          <w:rFonts w:ascii="Arial" w:hAnsi="Arial" w:cs="Arial"/>
          <w:sz w:val="20"/>
          <w:szCs w:val="20"/>
        </w:rPr>
        <w:t xml:space="preserve">reviewer </w:t>
      </w:r>
      <w:r w:rsidR="001B47D6" w:rsidRPr="00D12104">
        <w:rPr>
          <w:rFonts w:ascii="Arial" w:hAnsi="Arial" w:cs="Arial"/>
          <w:sz w:val="20"/>
          <w:szCs w:val="20"/>
        </w:rPr>
        <w:t>independent of the control owner</w:t>
      </w:r>
    </w:p>
    <w:p w14:paraId="45B1DAD2" w14:textId="77777777" w:rsidR="00A204C7" w:rsidRPr="00D12104" w:rsidRDefault="00A204C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>reporting on control effectiveness</w:t>
      </w:r>
      <w:r w:rsidR="00913C51" w:rsidRPr="00D12104">
        <w:rPr>
          <w:rFonts w:ascii="Arial" w:hAnsi="Arial" w:cs="Arial"/>
          <w:sz w:val="20"/>
          <w:szCs w:val="20"/>
        </w:rPr>
        <w:t xml:space="preserve"> and assurance</w:t>
      </w:r>
      <w:r w:rsidRPr="00D12104">
        <w:rPr>
          <w:rFonts w:ascii="Arial" w:hAnsi="Arial" w:cs="Arial"/>
          <w:sz w:val="20"/>
          <w:szCs w:val="20"/>
        </w:rPr>
        <w:t xml:space="preserve"> to executive management</w:t>
      </w:r>
    </w:p>
    <w:p w14:paraId="53247D15" w14:textId="7BB230AC" w:rsidR="00A204C7" w:rsidRPr="00D12104" w:rsidRDefault="0097187D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using the </w:t>
      </w:r>
      <w:r w:rsidR="003023F1" w:rsidRPr="00D12104">
        <w:rPr>
          <w:rFonts w:ascii="Arial" w:hAnsi="Arial" w:cs="Arial"/>
          <w:sz w:val="20"/>
          <w:szCs w:val="20"/>
        </w:rPr>
        <w:t xml:space="preserve">department’s risk </w:t>
      </w:r>
      <w:r w:rsidR="008F344C" w:rsidRPr="00D12104">
        <w:rPr>
          <w:rFonts w:ascii="Arial" w:hAnsi="Arial" w:cs="Arial"/>
          <w:sz w:val="20"/>
          <w:szCs w:val="20"/>
        </w:rPr>
        <w:t>register</w:t>
      </w:r>
      <w:r w:rsidR="003023F1" w:rsidRPr="00D12104">
        <w:rPr>
          <w:rFonts w:ascii="Arial" w:hAnsi="Arial" w:cs="Arial"/>
          <w:sz w:val="20"/>
          <w:szCs w:val="20"/>
        </w:rPr>
        <w:t xml:space="preserve"> </w:t>
      </w:r>
      <w:r w:rsidR="002A4186" w:rsidRPr="00D12104">
        <w:rPr>
          <w:rFonts w:ascii="Arial" w:hAnsi="Arial" w:cs="Arial"/>
          <w:sz w:val="20"/>
          <w:szCs w:val="20"/>
        </w:rPr>
        <w:t xml:space="preserve">(currently Risk Express) </w:t>
      </w:r>
      <w:r w:rsidR="00A204C7" w:rsidRPr="00D12104">
        <w:rPr>
          <w:rFonts w:ascii="Arial" w:hAnsi="Arial" w:cs="Arial"/>
          <w:sz w:val="20"/>
          <w:szCs w:val="20"/>
        </w:rPr>
        <w:t>as part of the quarterly review of risks</w:t>
      </w:r>
    </w:p>
    <w:p w14:paraId="39DF83D1" w14:textId="16704092" w:rsidR="00A204C7" w:rsidRDefault="00A204C7" w:rsidP="008D006F">
      <w:pPr>
        <w:pStyle w:val="ListParagraph"/>
        <w:numPr>
          <w:ilvl w:val="0"/>
          <w:numId w:val="20"/>
        </w:numPr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  <w:r w:rsidRPr="00D12104">
        <w:rPr>
          <w:rFonts w:ascii="Arial" w:hAnsi="Arial" w:cs="Arial"/>
          <w:sz w:val="20"/>
          <w:szCs w:val="20"/>
        </w:rPr>
        <w:t xml:space="preserve">working with the </w:t>
      </w:r>
      <w:r w:rsidR="00032EE0">
        <w:rPr>
          <w:rFonts w:ascii="Arial" w:hAnsi="Arial" w:cs="Arial"/>
          <w:sz w:val="20"/>
          <w:szCs w:val="20"/>
        </w:rPr>
        <w:t>department’s</w:t>
      </w:r>
      <w:r w:rsidRPr="00D12104">
        <w:rPr>
          <w:rFonts w:ascii="Arial" w:hAnsi="Arial" w:cs="Arial"/>
          <w:sz w:val="20"/>
          <w:szCs w:val="20"/>
        </w:rPr>
        <w:t xml:space="preserve"> risk team to improve control </w:t>
      </w:r>
      <w:r w:rsidR="00136640" w:rsidRPr="00D12104">
        <w:rPr>
          <w:rFonts w:ascii="Arial" w:hAnsi="Arial" w:cs="Arial"/>
          <w:sz w:val="20"/>
          <w:szCs w:val="20"/>
        </w:rPr>
        <w:t xml:space="preserve">effectiveness and </w:t>
      </w:r>
      <w:r w:rsidR="00484FBD" w:rsidRPr="00D12104">
        <w:rPr>
          <w:rFonts w:ascii="Arial" w:hAnsi="Arial" w:cs="Arial"/>
          <w:sz w:val="20"/>
          <w:szCs w:val="20"/>
        </w:rPr>
        <w:t>assurance</w:t>
      </w:r>
    </w:p>
    <w:p w14:paraId="6B69EC1D" w14:textId="3F66565F" w:rsidR="002F3F33" w:rsidRDefault="002F3F33" w:rsidP="00D167BB">
      <w:pPr>
        <w:pStyle w:val="ListParagraph"/>
        <w:adjustRightInd w:val="0"/>
        <w:snapToGrid w:val="0"/>
        <w:spacing w:before="120" w:after="120"/>
        <w:rPr>
          <w:rFonts w:ascii="Arial" w:hAnsi="Arial" w:cs="Arial"/>
          <w:sz w:val="20"/>
          <w:szCs w:val="20"/>
        </w:rPr>
      </w:pPr>
    </w:p>
    <w:p w14:paraId="540C5C5E" w14:textId="77777777" w:rsidR="00D167BB" w:rsidRPr="002F3F33" w:rsidRDefault="00D167BB" w:rsidP="002F3F33">
      <w:pPr>
        <w:jc w:val="center"/>
        <w:rPr>
          <w:lang w:val="en-AU" w:eastAsia="zh-CN"/>
        </w:rPr>
      </w:pPr>
    </w:p>
    <w:p w14:paraId="1CDF1EA6" w14:textId="0F89E955" w:rsidR="00935A87" w:rsidRDefault="00935A87" w:rsidP="00F87D9F">
      <w:pPr>
        <w:pStyle w:val="Heading2-numbered"/>
      </w:pPr>
      <w:r w:rsidRPr="00A621A0">
        <w:t>Control and action types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46"/>
        <w:gridCol w:w="2932"/>
        <w:gridCol w:w="2863"/>
      </w:tblGrid>
      <w:tr w:rsidR="009019E1" w:rsidRPr="00D12104" w14:paraId="5334B200" w14:textId="77777777" w:rsidTr="00F84745">
        <w:trPr>
          <w:trHeight w:val="847"/>
        </w:trPr>
        <w:tc>
          <w:tcPr>
            <w:tcW w:w="10456" w:type="dxa"/>
            <w:gridSpan w:val="4"/>
          </w:tcPr>
          <w:p w14:paraId="3F353178" w14:textId="77777777" w:rsidR="009019E1" w:rsidRPr="001D5D61" w:rsidRDefault="009019E1" w:rsidP="00935A87">
            <w:pPr>
              <w:adjustRightInd w:val="0"/>
              <w:snapToGrid w:val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D5D61">
              <w:rPr>
                <w:rFonts w:ascii="Arial" w:hAnsi="Arial" w:cs="Arial"/>
                <w:b/>
                <w:sz w:val="20"/>
                <w:szCs w:val="20"/>
              </w:rPr>
              <w:t xml:space="preserve">First line of </w:t>
            </w:r>
            <w:proofErr w:type="spellStart"/>
            <w:r w:rsidRPr="001D5D61">
              <w:rPr>
                <w:rFonts w:ascii="Arial" w:hAnsi="Arial" w:cs="Arial"/>
                <w:b/>
                <w:sz w:val="20"/>
                <w:szCs w:val="20"/>
              </w:rPr>
              <w:t>defence</w:t>
            </w:r>
            <w:proofErr w:type="spellEnd"/>
            <w:r w:rsidRPr="001D5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–</w:t>
            </w:r>
            <w:r w:rsidRPr="009019E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Routine management action to identify, implement and assess the operation of:</w:t>
            </w:r>
          </w:p>
          <w:p w14:paraId="7203F87E" w14:textId="77777777" w:rsidR="009019E1" w:rsidRPr="001D5D61" w:rsidRDefault="009019E1" w:rsidP="009019E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internal control strategy</w:t>
            </w:r>
          </w:p>
          <w:p w14:paraId="70038C92" w14:textId="28E67785" w:rsidR="009019E1" w:rsidRPr="009019E1" w:rsidRDefault="009019E1" w:rsidP="009019E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policies and procedures</w:t>
            </w:r>
          </w:p>
        </w:tc>
      </w:tr>
      <w:tr w:rsidR="00D12104" w:rsidRPr="00D12104" w14:paraId="44B9B961" w14:textId="77777777" w:rsidTr="00704C74">
        <w:trPr>
          <w:trHeight w:val="563"/>
          <w:tblHeader/>
        </w:trPr>
        <w:tc>
          <w:tcPr>
            <w:tcW w:w="1815" w:type="dxa"/>
            <w:shd w:val="clear" w:color="auto" w:fill="C8BAE8"/>
            <w:vAlign w:val="center"/>
          </w:tcPr>
          <w:p w14:paraId="2C3192F9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Control/Action Type</w:t>
            </w:r>
          </w:p>
        </w:tc>
        <w:tc>
          <w:tcPr>
            <w:tcW w:w="2846" w:type="dxa"/>
            <w:shd w:val="clear" w:color="auto" w:fill="C8BAE8"/>
            <w:vAlign w:val="center"/>
          </w:tcPr>
          <w:p w14:paraId="04E03174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Explanation</w:t>
            </w:r>
          </w:p>
        </w:tc>
        <w:tc>
          <w:tcPr>
            <w:tcW w:w="2932" w:type="dxa"/>
            <w:shd w:val="clear" w:color="auto" w:fill="C8BAE8"/>
            <w:vAlign w:val="center"/>
          </w:tcPr>
          <w:p w14:paraId="27D5DE33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Goal</w:t>
            </w:r>
          </w:p>
        </w:tc>
        <w:tc>
          <w:tcPr>
            <w:tcW w:w="2863" w:type="dxa"/>
            <w:shd w:val="clear" w:color="auto" w:fill="C8BAE8"/>
            <w:vAlign w:val="center"/>
          </w:tcPr>
          <w:p w14:paraId="52BA00B3" w14:textId="77777777" w:rsidR="00935A87" w:rsidRPr="00D12104" w:rsidRDefault="00935A87" w:rsidP="000035E8">
            <w:pPr>
              <w:pStyle w:val="ListParagraph"/>
              <w:adjustRightInd w:val="0"/>
              <w:snapToGrid w:val="0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D12104">
              <w:rPr>
                <w:rFonts w:ascii="Arial" w:hAnsi="Arial" w:cs="Arial"/>
                <w:b/>
                <w:color w:val="705AC5"/>
                <w:sz w:val="20"/>
                <w:szCs w:val="20"/>
              </w:rPr>
              <w:t>Examples</w:t>
            </w:r>
          </w:p>
        </w:tc>
      </w:tr>
      <w:tr w:rsidR="00935A87" w:rsidRPr="00D12104" w14:paraId="048EC3B4" w14:textId="77777777" w:rsidTr="00704C74">
        <w:trPr>
          <w:trHeight w:val="1717"/>
        </w:trPr>
        <w:tc>
          <w:tcPr>
            <w:tcW w:w="1815" w:type="dxa"/>
          </w:tcPr>
          <w:p w14:paraId="24099CBA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Internal Controls</w:t>
            </w:r>
          </w:p>
        </w:tc>
        <w:tc>
          <w:tcPr>
            <w:tcW w:w="2846" w:type="dxa"/>
          </w:tcPr>
          <w:p w14:paraId="1FCE40EC" w14:textId="77777777" w:rsidR="00935A87" w:rsidRPr="00586745" w:rsidRDefault="00935A87" w:rsidP="00586745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745">
              <w:rPr>
                <w:rFonts w:ascii="Arial" w:hAnsi="Arial" w:cs="Arial"/>
                <w:sz w:val="20"/>
                <w:szCs w:val="20"/>
              </w:rPr>
              <w:t>The methods, processes or procedures implemented to:</w:t>
            </w:r>
          </w:p>
          <w:p w14:paraId="469D5DCC" w14:textId="77777777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ensure compliance with prescribed requirements including legislation and regulation</w:t>
            </w:r>
          </w:p>
          <w:p w14:paraId="1E244091" w14:textId="77777777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safeguard assets</w:t>
            </w:r>
          </w:p>
          <w:p w14:paraId="6FCDABE7" w14:textId="77777777" w:rsidR="00935A87" w:rsidRPr="00D12104" w:rsidDel="009760FC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check the accuracy and reliability of accounting information</w:t>
            </w:r>
          </w:p>
        </w:tc>
        <w:tc>
          <w:tcPr>
            <w:tcW w:w="2932" w:type="dxa"/>
          </w:tcPr>
          <w:p w14:paraId="4048A3B8" w14:textId="77777777" w:rsidR="00935A87" w:rsidRPr="00586745" w:rsidRDefault="00935A87" w:rsidP="00586745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745">
              <w:rPr>
                <w:rFonts w:ascii="Arial" w:hAnsi="Arial" w:cs="Arial"/>
                <w:sz w:val="20"/>
                <w:szCs w:val="20"/>
              </w:rPr>
              <w:t>An effective and efficient internal control structure provides reasonable assurance to the accountable officer that:</w:t>
            </w:r>
          </w:p>
          <w:p w14:paraId="3DBDABC7" w14:textId="686155AF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the activities are being conducted in a manner that facilitates the achievement of objectives and the delivery of outputs in an orderly and efficient</w:t>
            </w:r>
            <w:r w:rsidR="00454E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745">
              <w:rPr>
                <w:rFonts w:ascii="Arial" w:hAnsi="Arial" w:cs="Arial"/>
                <w:sz w:val="20"/>
                <w:szCs w:val="20"/>
              </w:rPr>
              <w:t>way</w:t>
            </w:r>
            <w:r w:rsidRPr="00D12104">
              <w:rPr>
                <w:rFonts w:ascii="Arial" w:hAnsi="Arial" w:cs="Arial"/>
                <w:sz w:val="20"/>
                <w:szCs w:val="20"/>
              </w:rPr>
              <w:t xml:space="preserve">, avoiding waste, extravagance and other potential </w:t>
            </w:r>
            <w:r w:rsidR="00672510" w:rsidRPr="00D12104">
              <w:rPr>
                <w:rFonts w:ascii="Arial" w:hAnsi="Arial" w:cs="Arial"/>
                <w:sz w:val="20"/>
                <w:szCs w:val="20"/>
              </w:rPr>
              <w:t>causes</w:t>
            </w:r>
            <w:r w:rsidRPr="00D12104">
              <w:rPr>
                <w:rFonts w:ascii="Arial" w:hAnsi="Arial" w:cs="Arial"/>
                <w:sz w:val="20"/>
                <w:szCs w:val="20"/>
              </w:rPr>
              <w:t xml:space="preserve"> of risk or loss </w:t>
            </w:r>
          </w:p>
          <w:p w14:paraId="3073B448" w14:textId="77777777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error, fraud and other irregularities are prevented as far as possible and promptly detected if they do occur  </w:t>
            </w:r>
          </w:p>
          <w:p w14:paraId="61D7F077" w14:textId="77777777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assets are safeguarded from unauthorised use or disposal and are adequately maintained  </w:t>
            </w:r>
          </w:p>
          <w:p w14:paraId="3430FBEB" w14:textId="77777777" w:rsidR="00935A87" w:rsidRPr="00D12104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operational activities and individual transactions are complete and accurately reflected in the accounting period to which they relate  </w:t>
            </w:r>
          </w:p>
          <w:p w14:paraId="4883C8D3" w14:textId="77777777" w:rsidR="00935A87" w:rsidRDefault="00935A87" w:rsidP="00003061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financial management information is timely, relevant, and fairly presented</w:t>
            </w:r>
          </w:p>
          <w:p w14:paraId="563D356B" w14:textId="754DE62A" w:rsidR="00003061" w:rsidRPr="00D12104" w:rsidRDefault="00003061" w:rsidP="00003061">
            <w:pPr>
              <w:pStyle w:val="ListParagraph"/>
              <w:adjustRightInd w:val="0"/>
              <w:snapToGrid w:val="0"/>
              <w:spacing w:after="0"/>
              <w:ind w:left="20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05373BEA" w14:textId="3054F870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Segregation of </w:t>
            </w:r>
            <w:r w:rsidR="00032EE0">
              <w:rPr>
                <w:rFonts w:ascii="Arial" w:hAnsi="Arial" w:cs="Arial"/>
                <w:sz w:val="20"/>
                <w:szCs w:val="20"/>
              </w:rPr>
              <w:t>d</w:t>
            </w:r>
            <w:r w:rsidRPr="00D12104">
              <w:rPr>
                <w:rFonts w:ascii="Arial" w:hAnsi="Arial" w:cs="Arial"/>
                <w:sz w:val="20"/>
                <w:szCs w:val="20"/>
              </w:rPr>
              <w:t>uties</w:t>
            </w:r>
          </w:p>
          <w:p w14:paraId="33024505" w14:textId="0C02954B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Preparation of </w:t>
            </w:r>
            <w:r w:rsidR="00032EE0">
              <w:rPr>
                <w:rFonts w:ascii="Arial" w:hAnsi="Arial" w:cs="Arial"/>
                <w:sz w:val="20"/>
                <w:szCs w:val="20"/>
              </w:rPr>
              <w:t>p</w:t>
            </w:r>
            <w:r w:rsidRPr="00D12104">
              <w:rPr>
                <w:rFonts w:ascii="Arial" w:hAnsi="Arial" w:cs="Arial"/>
                <w:sz w:val="20"/>
                <w:szCs w:val="20"/>
              </w:rPr>
              <w:t xml:space="preserve">urchase </w:t>
            </w:r>
            <w:r w:rsidR="00032EE0">
              <w:rPr>
                <w:rFonts w:ascii="Arial" w:hAnsi="Arial" w:cs="Arial"/>
                <w:sz w:val="20"/>
                <w:szCs w:val="20"/>
              </w:rPr>
              <w:t>o</w:t>
            </w:r>
            <w:r w:rsidRPr="00D12104">
              <w:rPr>
                <w:rFonts w:ascii="Arial" w:hAnsi="Arial" w:cs="Arial"/>
                <w:sz w:val="20"/>
                <w:szCs w:val="20"/>
              </w:rPr>
              <w:t>rders</w:t>
            </w:r>
          </w:p>
          <w:p w14:paraId="791E8F74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Approval of expenditure</w:t>
            </w:r>
          </w:p>
          <w:p w14:paraId="24724FA7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Acquittal of corporate credit cards</w:t>
            </w:r>
          </w:p>
          <w:p w14:paraId="50666C8B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Preparation of timesheets</w:t>
            </w:r>
          </w:p>
          <w:p w14:paraId="045EF727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Reconciliations by independent officers</w:t>
            </w:r>
          </w:p>
          <w:p w14:paraId="4A3C40CD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Controls over the custody and security of accountable forms</w:t>
            </w:r>
          </w:p>
        </w:tc>
      </w:tr>
      <w:tr w:rsidR="00935A87" w:rsidRPr="00D12104" w14:paraId="1D2A040D" w14:textId="77777777" w:rsidTr="00704C74">
        <w:tc>
          <w:tcPr>
            <w:tcW w:w="1815" w:type="dxa"/>
          </w:tcPr>
          <w:p w14:paraId="73F691F3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Frameworks, Policies and Procedures</w:t>
            </w:r>
          </w:p>
        </w:tc>
        <w:tc>
          <w:tcPr>
            <w:tcW w:w="2846" w:type="dxa"/>
          </w:tcPr>
          <w:p w14:paraId="554A1502" w14:textId="77777777" w:rsidR="00935A87" w:rsidRPr="00586745" w:rsidRDefault="00935A87" w:rsidP="00586745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745">
              <w:rPr>
                <w:rFonts w:ascii="Arial" w:hAnsi="Arial" w:cs="Arial"/>
                <w:sz w:val="20"/>
                <w:szCs w:val="20"/>
              </w:rPr>
              <w:t>Ensuring outcomes are delivered in a controlled and consistent way by clearly specifying the department’s policy intent and the way that the intent is to be implemented</w:t>
            </w:r>
          </w:p>
        </w:tc>
        <w:tc>
          <w:tcPr>
            <w:tcW w:w="2932" w:type="dxa"/>
          </w:tcPr>
          <w:p w14:paraId="1614BFC7" w14:textId="77777777" w:rsidR="00935A87" w:rsidRPr="00586745" w:rsidRDefault="00935A87" w:rsidP="00586745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745">
              <w:rPr>
                <w:rFonts w:ascii="Arial" w:hAnsi="Arial" w:cs="Arial"/>
                <w:sz w:val="20"/>
                <w:szCs w:val="20"/>
              </w:rPr>
              <w:t xml:space="preserve">Increase confidence by specifying the way particular activity or outcome is to be delivered </w:t>
            </w:r>
          </w:p>
        </w:tc>
        <w:tc>
          <w:tcPr>
            <w:tcW w:w="2863" w:type="dxa"/>
          </w:tcPr>
          <w:p w14:paraId="710F4617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Workplace Health and Safety Procedure</w:t>
            </w:r>
          </w:p>
          <w:p w14:paraId="7200D457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Student Protection Procedure</w:t>
            </w:r>
          </w:p>
          <w:p w14:paraId="24DF14B4" w14:textId="3697A06E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Governance Framework</w:t>
            </w:r>
          </w:p>
        </w:tc>
      </w:tr>
    </w:tbl>
    <w:p w14:paraId="739C2342" w14:textId="77777777" w:rsidR="00D167BB" w:rsidRDefault="00D167B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46"/>
        <w:gridCol w:w="2932"/>
        <w:gridCol w:w="2863"/>
      </w:tblGrid>
      <w:tr w:rsidR="00935A87" w:rsidRPr="00D12104" w14:paraId="5971DDBA" w14:textId="77777777" w:rsidTr="00704C74">
        <w:trPr>
          <w:trHeight w:val="274"/>
        </w:trPr>
        <w:tc>
          <w:tcPr>
            <w:tcW w:w="1815" w:type="dxa"/>
          </w:tcPr>
          <w:p w14:paraId="6FEA2536" w14:textId="79D4CBD2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lastRenderedPageBreak/>
              <w:t>Monitoring and Review</w:t>
            </w:r>
            <w:r w:rsidRPr="00A621A0" w:rsidDel="00976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</w:tcPr>
          <w:p w14:paraId="04A27531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Observing the effectiveness of business processes and systems against expectation / performance indicators</w:t>
            </w:r>
          </w:p>
          <w:p w14:paraId="677693EB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Testing to ensure that processes and systems are fit for purpose and continuously deliver desired outcomes</w:t>
            </w:r>
          </w:p>
        </w:tc>
        <w:tc>
          <w:tcPr>
            <w:tcW w:w="2932" w:type="dxa"/>
          </w:tcPr>
          <w:p w14:paraId="4B158446" w14:textId="77777777" w:rsidR="00935A87" w:rsidRPr="00586745" w:rsidRDefault="00935A87" w:rsidP="00586745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745">
              <w:rPr>
                <w:rFonts w:ascii="Arial" w:hAnsi="Arial" w:cs="Arial"/>
                <w:sz w:val="20"/>
                <w:szCs w:val="20"/>
              </w:rPr>
              <w:t>Observing the operation of internal controls and/or processes to ensure they are:</w:t>
            </w:r>
          </w:p>
          <w:p w14:paraId="13804C78" w14:textId="77777777" w:rsidR="00935A87" w:rsidRPr="00D12104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achieving the intended outcome</w:t>
            </w:r>
          </w:p>
          <w:p w14:paraId="3C0265AB" w14:textId="77777777" w:rsidR="00935A87" w:rsidRPr="00D12104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in place and operating effectively and efficiently</w:t>
            </w:r>
          </w:p>
          <w:p w14:paraId="4303354D" w14:textId="77777777" w:rsidR="00935A87" w:rsidRPr="00D12104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compliant with legislation and policy</w:t>
            </w:r>
          </w:p>
          <w:p w14:paraId="56BFEE99" w14:textId="77777777" w:rsidR="00935A8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effectively managing the risk</w:t>
            </w:r>
          </w:p>
          <w:p w14:paraId="6D209F31" w14:textId="6AEE65B0" w:rsidR="00526783" w:rsidRPr="00D12104" w:rsidRDefault="00526783" w:rsidP="00526783">
            <w:pPr>
              <w:pStyle w:val="ListParagraph"/>
              <w:adjustRightInd w:val="0"/>
              <w:snapToGrid w:val="0"/>
              <w:spacing w:after="0"/>
              <w:ind w:left="20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1787FAF0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Review of system access to IT systems to ensure it aligns to approved user access profiles and position</w:t>
            </w:r>
          </w:p>
          <w:p w14:paraId="56B27E76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Review of the completion of timesheets</w:t>
            </w:r>
          </w:p>
          <w:p w14:paraId="18AA5454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Review of monthly performance reports including variance analysis</w:t>
            </w:r>
          </w:p>
        </w:tc>
      </w:tr>
      <w:tr w:rsidR="00935A87" w:rsidRPr="00D12104" w14:paraId="088FA9B6" w14:textId="77777777" w:rsidTr="00704C74">
        <w:tc>
          <w:tcPr>
            <w:tcW w:w="1815" w:type="dxa"/>
          </w:tcPr>
          <w:p w14:paraId="0053FFCB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2846" w:type="dxa"/>
          </w:tcPr>
          <w:p w14:paraId="3188AC58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Documenting the results of checks on the effectiveness of processes and systems </w:t>
            </w:r>
          </w:p>
          <w:p w14:paraId="63487C24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Formally presenting the results to a committee or working group for scrutiny</w:t>
            </w:r>
          </w:p>
        </w:tc>
        <w:tc>
          <w:tcPr>
            <w:tcW w:w="2932" w:type="dxa"/>
          </w:tcPr>
          <w:p w14:paraId="6ECF66F0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>Preparation of particular information to provide the user with advice as to the outcome of a situation, process or event</w:t>
            </w:r>
          </w:p>
        </w:tc>
        <w:tc>
          <w:tcPr>
            <w:tcW w:w="2863" w:type="dxa"/>
          </w:tcPr>
          <w:p w14:paraId="25ACFAAD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Preparation of financial reports</w:t>
            </w:r>
          </w:p>
          <w:p w14:paraId="7819917E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System access reports</w:t>
            </w:r>
          </w:p>
          <w:p w14:paraId="07EF7607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Preparation of quarterly performance reports</w:t>
            </w:r>
          </w:p>
        </w:tc>
      </w:tr>
      <w:tr w:rsidR="00935A87" w:rsidRPr="00D12104" w14:paraId="6C890ED1" w14:textId="77777777" w:rsidTr="00704C74">
        <w:tc>
          <w:tcPr>
            <w:tcW w:w="1815" w:type="dxa"/>
          </w:tcPr>
          <w:p w14:paraId="0A6E6351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Information Technology (IT) Systems</w:t>
            </w:r>
          </w:p>
        </w:tc>
        <w:tc>
          <w:tcPr>
            <w:tcW w:w="2846" w:type="dxa"/>
          </w:tcPr>
          <w:p w14:paraId="47E4D6BE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 xml:space="preserve">Sets of </w:t>
            </w:r>
            <w:hyperlink r:id="rId12" w:history="1">
              <w:r w:rsidRPr="008843A7">
                <w:rPr>
                  <w:rFonts w:ascii="Arial" w:hAnsi="Arial" w:cs="Arial"/>
                  <w:sz w:val="20"/>
                  <w:szCs w:val="20"/>
                </w:rPr>
                <w:t>tools</w:t>
              </w:r>
            </w:hyperlink>
            <w:r w:rsidRPr="008843A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history="1">
              <w:r w:rsidRPr="008843A7">
                <w:rPr>
                  <w:rFonts w:ascii="Arial" w:hAnsi="Arial" w:cs="Arial"/>
                  <w:sz w:val="20"/>
                  <w:szCs w:val="20"/>
                </w:rPr>
                <w:t>processes</w:t>
              </w:r>
            </w:hyperlink>
            <w:r w:rsidRPr="008843A7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hyperlink r:id="rId14" w:history="1">
              <w:r w:rsidRPr="008843A7">
                <w:rPr>
                  <w:rFonts w:ascii="Arial" w:hAnsi="Arial" w:cs="Arial"/>
                  <w:sz w:val="20"/>
                  <w:szCs w:val="20"/>
                </w:rPr>
                <w:t>methodologies</w:t>
              </w:r>
            </w:hyperlink>
            <w:r w:rsidRPr="008843A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5" w:history="1">
              <w:r w:rsidRPr="008843A7">
                <w:rPr>
                  <w:rFonts w:ascii="Arial" w:hAnsi="Arial" w:cs="Arial"/>
                  <w:sz w:val="20"/>
                  <w:szCs w:val="20"/>
                </w:rPr>
                <w:t>associated</w:t>
              </w:r>
            </w:hyperlink>
            <w:r w:rsidRPr="008843A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8843A7">
                <w:rPr>
                  <w:rFonts w:ascii="Arial" w:hAnsi="Arial" w:cs="Arial"/>
                  <w:sz w:val="20"/>
                  <w:szCs w:val="20"/>
                </w:rPr>
                <w:t>equipment</w:t>
              </w:r>
            </w:hyperlink>
            <w:r w:rsidRPr="008843A7">
              <w:rPr>
                <w:rFonts w:ascii="Arial" w:hAnsi="Arial" w:cs="Arial"/>
                <w:sz w:val="20"/>
                <w:szCs w:val="20"/>
              </w:rPr>
              <w:t xml:space="preserve"> used to collect, process and present </w:t>
            </w:r>
            <w:hyperlink r:id="rId17" w:history="1">
              <w:r w:rsidRPr="008843A7">
                <w:rPr>
                  <w:rFonts w:ascii="Arial" w:hAnsi="Arial" w:cs="Arial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2932" w:type="dxa"/>
          </w:tcPr>
          <w:p w14:paraId="310F1955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 xml:space="preserve">IT systems aim to improve the efficiency and effectiveness of operational processes and procedures using electronic systems and structures  </w:t>
            </w:r>
          </w:p>
        </w:tc>
        <w:tc>
          <w:tcPr>
            <w:tcW w:w="2863" w:type="dxa"/>
          </w:tcPr>
          <w:p w14:paraId="2B4B9158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OneSchool</w:t>
            </w:r>
          </w:p>
          <w:p w14:paraId="0D13B10B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SAP</w:t>
            </w:r>
          </w:p>
          <w:p w14:paraId="477B9ED4" w14:textId="77777777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Risk Express</w:t>
            </w:r>
          </w:p>
        </w:tc>
      </w:tr>
    </w:tbl>
    <w:p w14:paraId="6D89CDF9" w14:textId="77777777" w:rsidR="00704C74" w:rsidRDefault="00704C7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"/>
        <w:gridCol w:w="2824"/>
        <w:gridCol w:w="54"/>
        <w:gridCol w:w="2878"/>
        <w:gridCol w:w="2873"/>
      </w:tblGrid>
      <w:tr w:rsidR="00935A87" w:rsidRPr="00CE4FB7" w14:paraId="1B58FD6B" w14:textId="77777777" w:rsidTr="00F84745">
        <w:trPr>
          <w:trHeight w:val="504"/>
        </w:trPr>
        <w:tc>
          <w:tcPr>
            <w:tcW w:w="10466" w:type="dxa"/>
            <w:gridSpan w:val="6"/>
            <w:shd w:val="clear" w:color="auto" w:fill="auto"/>
            <w:vAlign w:val="center"/>
          </w:tcPr>
          <w:p w14:paraId="000D5A97" w14:textId="3EE836C4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Second </w:t>
            </w:r>
            <w:r w:rsidR="00735AB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621A0">
              <w:rPr>
                <w:rFonts w:ascii="Arial" w:hAnsi="Arial" w:cs="Arial"/>
                <w:b/>
                <w:sz w:val="20"/>
                <w:szCs w:val="20"/>
              </w:rPr>
              <w:t xml:space="preserve">ine of </w:t>
            </w:r>
            <w:proofErr w:type="spellStart"/>
            <w:r w:rsidR="00735AB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621A0">
              <w:rPr>
                <w:rFonts w:ascii="Arial" w:hAnsi="Arial" w:cs="Arial"/>
                <w:b/>
                <w:sz w:val="20"/>
                <w:szCs w:val="20"/>
              </w:rPr>
              <w:t>efence</w:t>
            </w:r>
            <w:proofErr w:type="spellEnd"/>
            <w:r w:rsidRPr="00A62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1A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- </w:t>
            </w:r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Executive oversight of the first line of </w:t>
            </w:r>
            <w:proofErr w:type="spellStart"/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defence</w:t>
            </w:r>
            <w:proofErr w:type="spellEnd"/>
          </w:p>
        </w:tc>
      </w:tr>
      <w:tr w:rsidR="00D12104" w:rsidRPr="00D12104" w14:paraId="22EB28BC" w14:textId="77777777" w:rsidTr="00704C74">
        <w:trPr>
          <w:trHeight w:val="646"/>
        </w:trPr>
        <w:tc>
          <w:tcPr>
            <w:tcW w:w="1837" w:type="dxa"/>
            <w:gridSpan w:val="2"/>
            <w:shd w:val="clear" w:color="auto" w:fill="C8BAE8"/>
            <w:vAlign w:val="center"/>
          </w:tcPr>
          <w:p w14:paraId="3FFEABF1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Control/Action Type</w:t>
            </w:r>
          </w:p>
        </w:tc>
        <w:tc>
          <w:tcPr>
            <w:tcW w:w="2878" w:type="dxa"/>
            <w:gridSpan w:val="2"/>
            <w:shd w:val="clear" w:color="auto" w:fill="C8BAE8"/>
            <w:vAlign w:val="center"/>
          </w:tcPr>
          <w:p w14:paraId="28171B43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Explanation</w:t>
            </w:r>
          </w:p>
        </w:tc>
        <w:tc>
          <w:tcPr>
            <w:tcW w:w="2878" w:type="dxa"/>
            <w:shd w:val="clear" w:color="auto" w:fill="C8BAE8"/>
            <w:vAlign w:val="center"/>
          </w:tcPr>
          <w:p w14:paraId="197DA399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Goal</w:t>
            </w:r>
          </w:p>
        </w:tc>
        <w:tc>
          <w:tcPr>
            <w:tcW w:w="2873" w:type="dxa"/>
            <w:shd w:val="clear" w:color="auto" w:fill="C8BAE8"/>
            <w:vAlign w:val="center"/>
          </w:tcPr>
          <w:p w14:paraId="03F9D849" w14:textId="77777777" w:rsidR="00935A87" w:rsidRPr="00D12104" w:rsidRDefault="00935A87" w:rsidP="000035E8">
            <w:pPr>
              <w:pStyle w:val="ListParagraph"/>
              <w:adjustRightInd w:val="0"/>
              <w:snapToGrid w:val="0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D12104">
              <w:rPr>
                <w:rFonts w:ascii="Arial" w:hAnsi="Arial" w:cs="Arial"/>
                <w:b/>
                <w:color w:val="705AC5"/>
                <w:sz w:val="20"/>
                <w:szCs w:val="20"/>
              </w:rPr>
              <w:t>Examples</w:t>
            </w:r>
          </w:p>
        </w:tc>
      </w:tr>
      <w:tr w:rsidR="00935A87" w:rsidRPr="00CE4FB7" w14:paraId="41524EA6" w14:textId="77777777" w:rsidTr="00704C74">
        <w:tc>
          <w:tcPr>
            <w:tcW w:w="1837" w:type="dxa"/>
            <w:gridSpan w:val="2"/>
          </w:tcPr>
          <w:p w14:paraId="32868153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 xml:space="preserve">Compliance and Assurance </w:t>
            </w:r>
          </w:p>
        </w:tc>
        <w:tc>
          <w:tcPr>
            <w:tcW w:w="2878" w:type="dxa"/>
            <w:gridSpan w:val="2"/>
          </w:tcPr>
          <w:p w14:paraId="6D1C1C80" w14:textId="77777777" w:rsidR="00935A87" w:rsidRPr="00F4100E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Ensuring systems, processes and practices are compliant with requirements of legislation</w:t>
            </w:r>
          </w:p>
          <w:p w14:paraId="6A7E420C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Scrutinising the quality of a system, process or output against policies, procedures, standards and expectations</w:t>
            </w:r>
          </w:p>
          <w:p w14:paraId="08B8C7C4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 xml:space="preserve">Documenting compliance and assurance checks </w:t>
            </w:r>
          </w:p>
        </w:tc>
        <w:tc>
          <w:tcPr>
            <w:tcW w:w="2878" w:type="dxa"/>
          </w:tcPr>
          <w:p w14:paraId="33D451EB" w14:textId="33F0E233" w:rsidR="00935A87" w:rsidRPr="00A621A0" w:rsidRDefault="00935A87" w:rsidP="00032EE0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 xml:space="preserve">Increase certainty that </w:t>
            </w:r>
            <w:r w:rsidR="00032EE0">
              <w:rPr>
                <w:rFonts w:ascii="Arial" w:hAnsi="Arial" w:cs="Arial"/>
                <w:sz w:val="20"/>
                <w:szCs w:val="20"/>
              </w:rPr>
              <w:t>the department’</w:t>
            </w:r>
            <w:r w:rsidR="00032EE0" w:rsidRPr="00A621A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A621A0">
              <w:rPr>
                <w:rFonts w:ascii="Arial" w:hAnsi="Arial" w:cs="Arial"/>
                <w:sz w:val="20"/>
                <w:szCs w:val="20"/>
              </w:rPr>
              <w:t>services and products are of the highest quality and meet legislative requirements</w:t>
            </w:r>
            <w:r w:rsidRPr="00A621A0" w:rsidDel="00976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7357622F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Legislative and Admini</w:t>
            </w:r>
            <w:r w:rsidRPr="00F4100E">
              <w:rPr>
                <w:rFonts w:ascii="Arial" w:hAnsi="Arial" w:cs="Arial"/>
                <w:sz w:val="20"/>
                <w:szCs w:val="20"/>
              </w:rPr>
              <w:t>strative delegations and authorisations</w:t>
            </w:r>
          </w:p>
          <w:p w14:paraId="7A5E9FA7" w14:textId="3B227D78" w:rsidR="00935A87" w:rsidRPr="00CE4FB7" w:rsidRDefault="00032EE0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department’</w:t>
            </w:r>
            <w:r w:rsidRPr="00A66C5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35A87" w:rsidRPr="00CE4FB7">
              <w:rPr>
                <w:rFonts w:ascii="Arial" w:hAnsi="Arial" w:cs="Arial"/>
                <w:sz w:val="20"/>
                <w:szCs w:val="20"/>
              </w:rPr>
              <w:t>induction strategy and mandatory training</w:t>
            </w:r>
          </w:p>
          <w:p w14:paraId="1B1FD02B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Emergency response plan and testing</w:t>
            </w:r>
          </w:p>
          <w:p w14:paraId="2E81B6E6" w14:textId="77777777" w:rsidR="00935A87" w:rsidRPr="00CE4FB7" w:rsidDel="009E3F8A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Online approvals for purchase orders</w:t>
            </w:r>
          </w:p>
        </w:tc>
      </w:tr>
      <w:tr w:rsidR="00935A87" w:rsidRPr="00CE4FB7" w14:paraId="09E06C7C" w14:textId="77777777" w:rsidTr="00704C74">
        <w:tc>
          <w:tcPr>
            <w:tcW w:w="1837" w:type="dxa"/>
            <w:gridSpan w:val="2"/>
          </w:tcPr>
          <w:p w14:paraId="0DA01FE2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  <w:tc>
          <w:tcPr>
            <w:tcW w:w="2878" w:type="dxa"/>
            <w:gridSpan w:val="2"/>
          </w:tcPr>
          <w:p w14:paraId="52F3D1F4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 xml:space="preserve">Committee or working group oversight, including: </w:t>
            </w:r>
          </w:p>
          <w:p w14:paraId="6ECA67F6" w14:textId="77777777" w:rsidR="00935A87" w:rsidRPr="00CE4FB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scrutiny of performance reports</w:t>
            </w:r>
          </w:p>
          <w:p w14:paraId="66033EE7" w14:textId="77777777" w:rsidR="00935A87" w:rsidRPr="00CE4FB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4100E">
              <w:rPr>
                <w:rFonts w:ascii="Arial" w:hAnsi="Arial" w:cs="Arial"/>
                <w:sz w:val="20"/>
                <w:szCs w:val="20"/>
              </w:rPr>
              <w:t>ass</w:t>
            </w:r>
            <w:r w:rsidRPr="00CE4FB7">
              <w:rPr>
                <w:rFonts w:ascii="Arial" w:hAnsi="Arial" w:cs="Arial"/>
                <w:sz w:val="20"/>
                <w:szCs w:val="20"/>
              </w:rPr>
              <w:t xml:space="preserve">essing effectiveness of risk controls and actions </w:t>
            </w:r>
          </w:p>
          <w:p w14:paraId="25910B8C" w14:textId="77777777" w:rsidR="00935A87" w:rsidRPr="00CE4FB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requesting reviews to be undertaken</w:t>
            </w:r>
          </w:p>
          <w:p w14:paraId="4874B55A" w14:textId="77777777" w:rsidR="00935A87" w:rsidRPr="00CE4FB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ensuring timeframes are met</w:t>
            </w:r>
          </w:p>
          <w:p w14:paraId="405E2014" w14:textId="77777777" w:rsidR="00935A87" w:rsidRPr="00CE4FB7" w:rsidRDefault="00935A87" w:rsidP="00032EE0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spacing w:after="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assuring the quality of program/project outputs</w:t>
            </w:r>
          </w:p>
        </w:tc>
        <w:tc>
          <w:tcPr>
            <w:tcW w:w="2878" w:type="dxa"/>
          </w:tcPr>
          <w:p w14:paraId="760165B2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>A culture of accountability for improving performance and managing risk</w:t>
            </w:r>
          </w:p>
        </w:tc>
        <w:tc>
          <w:tcPr>
            <w:tcW w:w="2873" w:type="dxa"/>
          </w:tcPr>
          <w:p w14:paraId="2EA753FA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 xml:space="preserve">Executive Management </w:t>
            </w:r>
            <w:r w:rsidRPr="00F4100E">
              <w:rPr>
                <w:rFonts w:ascii="Arial" w:hAnsi="Arial" w:cs="Arial"/>
                <w:sz w:val="20"/>
                <w:szCs w:val="20"/>
              </w:rPr>
              <w:t>Board</w:t>
            </w:r>
          </w:p>
          <w:p w14:paraId="644D7077" w14:textId="77777777" w:rsidR="00935A87" w:rsidRPr="00CE4FB7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Audit and Risk Management Committee</w:t>
            </w:r>
          </w:p>
        </w:tc>
      </w:tr>
      <w:tr w:rsidR="00E57491" w:rsidRPr="00CE4FB7" w14:paraId="7A484915" w14:textId="77777777" w:rsidTr="00704C74">
        <w:tc>
          <w:tcPr>
            <w:tcW w:w="1837" w:type="dxa"/>
            <w:gridSpan w:val="2"/>
          </w:tcPr>
          <w:p w14:paraId="01AE9011" w14:textId="77777777" w:rsidR="00E57491" w:rsidRPr="00A621A0" w:rsidRDefault="00E57491" w:rsidP="00E5749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Education and Awareness</w:t>
            </w:r>
          </w:p>
        </w:tc>
        <w:tc>
          <w:tcPr>
            <w:tcW w:w="2878" w:type="dxa"/>
            <w:gridSpan w:val="2"/>
          </w:tcPr>
          <w:p w14:paraId="20D98670" w14:textId="77777777" w:rsidR="00E57491" w:rsidRPr="008843A7" w:rsidRDefault="00E57491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>Increasing awareness through targeted and effective messages to staff and stakeholders</w:t>
            </w:r>
          </w:p>
        </w:tc>
        <w:tc>
          <w:tcPr>
            <w:tcW w:w="2878" w:type="dxa"/>
          </w:tcPr>
          <w:p w14:paraId="54073B40" w14:textId="000ABF3F" w:rsidR="00E57491" w:rsidRPr="008843A7" w:rsidRDefault="00E57491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 xml:space="preserve">Create a corporate culture where risk is understood and effectively managed </w:t>
            </w:r>
          </w:p>
        </w:tc>
        <w:tc>
          <w:tcPr>
            <w:tcW w:w="2873" w:type="dxa"/>
          </w:tcPr>
          <w:p w14:paraId="3478D873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 xml:space="preserve">Stakeholder engagement and information sessions </w:t>
            </w:r>
          </w:p>
          <w:p w14:paraId="1B147139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4100E">
              <w:rPr>
                <w:rFonts w:ascii="Arial" w:hAnsi="Arial" w:cs="Arial"/>
                <w:sz w:val="20"/>
                <w:szCs w:val="20"/>
              </w:rPr>
              <w:t>Information sheets and guidance materials</w:t>
            </w:r>
          </w:p>
        </w:tc>
      </w:tr>
      <w:tr w:rsidR="00E57491" w:rsidRPr="00CE4FB7" w14:paraId="2B97525C" w14:textId="77777777" w:rsidTr="00704C74"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14:paraId="42289F5E" w14:textId="77777777" w:rsidR="00E57491" w:rsidRPr="00A621A0" w:rsidRDefault="00E57491" w:rsidP="00E5749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Building Capability and Training</w:t>
            </w:r>
          </w:p>
        </w:tc>
        <w:tc>
          <w:tcPr>
            <w:tcW w:w="2878" w:type="dxa"/>
            <w:gridSpan w:val="2"/>
            <w:tcBorders>
              <w:bottom w:val="dotted" w:sz="4" w:space="0" w:color="auto"/>
            </w:tcBorders>
          </w:tcPr>
          <w:p w14:paraId="2B76B2FD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Enhancing the ability of systems and processes to control the risk</w:t>
            </w:r>
          </w:p>
          <w:p w14:paraId="03BD6596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4100E">
              <w:rPr>
                <w:rFonts w:ascii="Arial" w:hAnsi="Arial" w:cs="Arial"/>
                <w:sz w:val="20"/>
                <w:szCs w:val="20"/>
              </w:rPr>
              <w:t xml:space="preserve">Increasing the level of resources used to control the risk </w:t>
            </w:r>
          </w:p>
          <w:p w14:paraId="13EEDE85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Increasing the ability of staff to control the risk</w:t>
            </w: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4DDB628B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 xml:space="preserve">An agile, flexible approach that can control risk within a changing operating environment </w:t>
            </w:r>
          </w:p>
          <w:p w14:paraId="74603A3F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Empowered staff who manage to reduce risk effectively</w:t>
            </w: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2AA7753B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Coaching and support for staff</w:t>
            </w:r>
          </w:p>
          <w:p w14:paraId="75491319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Policy development and analysis training</w:t>
            </w:r>
          </w:p>
          <w:p w14:paraId="0F6EAEE8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 xml:space="preserve">Financial management support and training </w:t>
            </w:r>
          </w:p>
          <w:p w14:paraId="2438A179" w14:textId="77777777" w:rsidR="00E57491" w:rsidRPr="00CE4FB7" w:rsidRDefault="00E57491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4FB7">
              <w:rPr>
                <w:rFonts w:ascii="Arial" w:hAnsi="Arial" w:cs="Arial"/>
                <w:sz w:val="20"/>
                <w:szCs w:val="20"/>
              </w:rPr>
              <w:t>Driver training courses for staff traveling in rural and remote areas</w:t>
            </w:r>
          </w:p>
        </w:tc>
      </w:tr>
      <w:tr w:rsidR="00704C74" w:rsidRPr="00CE4FB7" w14:paraId="024B2E46" w14:textId="77777777" w:rsidTr="00704C74">
        <w:trPr>
          <w:trHeight w:val="492"/>
        </w:trPr>
        <w:tc>
          <w:tcPr>
            <w:tcW w:w="1837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382242E5" w14:textId="77777777" w:rsidR="00704C74" w:rsidRPr="00A621A0" w:rsidRDefault="00704C74" w:rsidP="00E5749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6D22A3" w14:textId="77777777" w:rsidR="00704C74" w:rsidRPr="00CE4FB7" w:rsidRDefault="00704C74" w:rsidP="00704C74">
            <w:pPr>
              <w:pStyle w:val="ListParagraph"/>
              <w:adjustRightInd w:val="0"/>
              <w:snapToGrid w:val="0"/>
              <w:spacing w:after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D679B8" w14:textId="77777777" w:rsidR="00704C74" w:rsidRPr="00CE4FB7" w:rsidRDefault="00704C74" w:rsidP="00704C74">
            <w:pPr>
              <w:pStyle w:val="ListParagraph"/>
              <w:adjustRightInd w:val="0"/>
              <w:snapToGrid w:val="0"/>
              <w:spacing w:after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dotted" w:sz="4" w:space="0" w:color="auto"/>
              <w:left w:val="nil"/>
              <w:bottom w:val="nil"/>
            </w:tcBorders>
          </w:tcPr>
          <w:p w14:paraId="3D084BA8" w14:textId="77777777" w:rsidR="00704C74" w:rsidRPr="00CE4FB7" w:rsidRDefault="00704C74" w:rsidP="00704C74">
            <w:pPr>
              <w:pStyle w:val="ListParagraph"/>
              <w:adjustRightInd w:val="0"/>
              <w:snapToGrid w:val="0"/>
              <w:spacing w:after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87" w:rsidRPr="00D12104" w14:paraId="0AB93F92" w14:textId="77777777" w:rsidTr="00704C74">
        <w:trPr>
          <w:trHeight w:val="452"/>
        </w:trPr>
        <w:tc>
          <w:tcPr>
            <w:tcW w:w="10466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050ACF24" w14:textId="62592CA4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sz w:val="20"/>
                <w:szCs w:val="20"/>
              </w:rPr>
              <w:t xml:space="preserve">Third </w:t>
            </w:r>
            <w:r w:rsidR="00735AB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621A0">
              <w:rPr>
                <w:rFonts w:ascii="Arial" w:hAnsi="Arial" w:cs="Arial"/>
                <w:b/>
                <w:sz w:val="20"/>
                <w:szCs w:val="20"/>
              </w:rPr>
              <w:t xml:space="preserve">ine of </w:t>
            </w:r>
            <w:proofErr w:type="spellStart"/>
            <w:r w:rsidR="00735AB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621A0">
              <w:rPr>
                <w:rFonts w:ascii="Arial" w:hAnsi="Arial" w:cs="Arial"/>
                <w:b/>
                <w:sz w:val="20"/>
                <w:szCs w:val="20"/>
              </w:rPr>
              <w:t>efence</w:t>
            </w:r>
            <w:proofErr w:type="spellEnd"/>
            <w:r w:rsidRPr="00A62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21A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1D5D6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Independent Assurance</w:t>
            </w:r>
          </w:p>
        </w:tc>
      </w:tr>
      <w:tr w:rsidR="00D12104" w:rsidRPr="00D12104" w14:paraId="7543C853" w14:textId="77777777" w:rsidTr="00704C74">
        <w:trPr>
          <w:trHeight w:val="624"/>
        </w:trPr>
        <w:tc>
          <w:tcPr>
            <w:tcW w:w="1815" w:type="dxa"/>
            <w:shd w:val="clear" w:color="auto" w:fill="C8BAE8"/>
            <w:vAlign w:val="center"/>
          </w:tcPr>
          <w:p w14:paraId="7FC86CF2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Control/Action Type</w:t>
            </w:r>
          </w:p>
        </w:tc>
        <w:tc>
          <w:tcPr>
            <w:tcW w:w="2846" w:type="dxa"/>
            <w:gridSpan w:val="2"/>
            <w:shd w:val="clear" w:color="auto" w:fill="C8BAE8"/>
            <w:vAlign w:val="center"/>
          </w:tcPr>
          <w:p w14:paraId="470886DC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Explanation</w:t>
            </w:r>
          </w:p>
        </w:tc>
        <w:tc>
          <w:tcPr>
            <w:tcW w:w="2932" w:type="dxa"/>
            <w:gridSpan w:val="2"/>
            <w:shd w:val="clear" w:color="auto" w:fill="C8BAE8"/>
            <w:vAlign w:val="center"/>
          </w:tcPr>
          <w:p w14:paraId="2D2A8502" w14:textId="77777777" w:rsidR="00935A87" w:rsidRPr="00A621A0" w:rsidRDefault="00935A87" w:rsidP="00003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Goal</w:t>
            </w:r>
          </w:p>
        </w:tc>
        <w:tc>
          <w:tcPr>
            <w:tcW w:w="2873" w:type="dxa"/>
            <w:shd w:val="clear" w:color="auto" w:fill="C8BAE8"/>
            <w:vAlign w:val="center"/>
          </w:tcPr>
          <w:p w14:paraId="533D6475" w14:textId="77777777" w:rsidR="00935A87" w:rsidRPr="00A621A0" w:rsidRDefault="00935A87" w:rsidP="000035E8">
            <w:pPr>
              <w:pStyle w:val="ListParagraph"/>
              <w:adjustRightInd w:val="0"/>
              <w:snapToGrid w:val="0"/>
              <w:spacing w:after="0"/>
              <w:ind w:left="0"/>
              <w:contextualSpacing w:val="0"/>
              <w:jc w:val="center"/>
              <w:rPr>
                <w:rFonts w:ascii="Arial" w:hAnsi="Arial" w:cs="Arial"/>
                <w:b/>
                <w:color w:val="705AC5"/>
                <w:sz w:val="20"/>
                <w:szCs w:val="20"/>
              </w:rPr>
            </w:pPr>
            <w:r w:rsidRPr="00A621A0">
              <w:rPr>
                <w:rFonts w:ascii="Arial" w:hAnsi="Arial" w:cs="Arial"/>
                <w:b/>
                <w:color w:val="705AC5"/>
                <w:sz w:val="20"/>
                <w:szCs w:val="20"/>
              </w:rPr>
              <w:t>Examples</w:t>
            </w:r>
          </w:p>
        </w:tc>
      </w:tr>
      <w:tr w:rsidR="00935A87" w:rsidRPr="00D12104" w14:paraId="1141EDFC" w14:textId="77777777" w:rsidTr="00704C74">
        <w:trPr>
          <w:trHeight w:val="1309"/>
        </w:trPr>
        <w:tc>
          <w:tcPr>
            <w:tcW w:w="1837" w:type="dxa"/>
            <w:gridSpan w:val="2"/>
          </w:tcPr>
          <w:p w14:paraId="4469009A" w14:textId="77777777" w:rsidR="00935A87" w:rsidRPr="00A621A0" w:rsidRDefault="00935A87" w:rsidP="000035E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1A0">
              <w:rPr>
                <w:rFonts w:ascii="Arial" w:hAnsi="Arial" w:cs="Arial"/>
                <w:sz w:val="20"/>
                <w:szCs w:val="20"/>
              </w:rPr>
              <w:t>Independent Review</w:t>
            </w:r>
          </w:p>
        </w:tc>
        <w:tc>
          <w:tcPr>
            <w:tcW w:w="2824" w:type="dxa"/>
          </w:tcPr>
          <w:p w14:paraId="0B48F5E1" w14:textId="77777777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>Review by an independent expert including consultants</w:t>
            </w:r>
          </w:p>
          <w:p w14:paraId="090D7BBA" w14:textId="77777777" w:rsidR="00935A87" w:rsidRPr="00A621A0" w:rsidRDefault="00935A87" w:rsidP="00032EE0">
            <w:pPr>
              <w:pStyle w:val="ListParagraph"/>
              <w:adjustRightInd w:val="0"/>
              <w:snapToGrid w:val="0"/>
              <w:spacing w:after="0"/>
              <w:ind w:left="23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655050E1" w14:textId="48D63816" w:rsidR="00935A87" w:rsidRPr="008843A7" w:rsidRDefault="00935A87" w:rsidP="008843A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43A7">
              <w:rPr>
                <w:rFonts w:ascii="Arial" w:hAnsi="Arial" w:cs="Arial"/>
                <w:sz w:val="20"/>
                <w:szCs w:val="20"/>
              </w:rPr>
              <w:t>Expert advice to provide management assurances a</w:t>
            </w:r>
            <w:r w:rsidR="008843A7">
              <w:rPr>
                <w:rFonts w:ascii="Arial" w:hAnsi="Arial" w:cs="Arial"/>
                <w:sz w:val="20"/>
                <w:szCs w:val="20"/>
              </w:rPr>
              <w:t>s</w:t>
            </w:r>
            <w:r w:rsidRPr="008843A7">
              <w:rPr>
                <w:rFonts w:ascii="Arial" w:hAnsi="Arial" w:cs="Arial"/>
                <w:sz w:val="20"/>
                <w:szCs w:val="20"/>
              </w:rPr>
              <w:t xml:space="preserve"> to the operation of a particular process, unit, system or division</w:t>
            </w:r>
          </w:p>
        </w:tc>
        <w:tc>
          <w:tcPr>
            <w:tcW w:w="2873" w:type="dxa"/>
          </w:tcPr>
          <w:p w14:paraId="553BBE6C" w14:textId="11B1E4A3" w:rsidR="00935A87" w:rsidRPr="00D12104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 xml:space="preserve">Information security review by an independent consultation </w:t>
            </w:r>
            <w:r w:rsidR="003C4760" w:rsidRPr="00003061">
              <w:rPr>
                <w:rFonts w:ascii="Arial" w:hAnsi="Arial" w:cs="Arial"/>
                <w:sz w:val="20"/>
                <w:szCs w:val="20"/>
              </w:rPr>
              <w:t>process</w:t>
            </w:r>
          </w:p>
          <w:p w14:paraId="70052AA5" w14:textId="77777777" w:rsidR="00935A87" w:rsidRPr="00D12104" w:rsidDel="009E3F8A" w:rsidRDefault="00935A87" w:rsidP="0000306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0"/>
              <w:ind w:left="231" w:hanging="2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2104">
              <w:rPr>
                <w:rFonts w:ascii="Arial" w:hAnsi="Arial" w:cs="Arial"/>
                <w:sz w:val="20"/>
                <w:szCs w:val="20"/>
              </w:rPr>
              <w:t>Independent workplace health and safety review</w:t>
            </w:r>
          </w:p>
        </w:tc>
      </w:tr>
    </w:tbl>
    <w:p w14:paraId="1947B1EE" w14:textId="77777777" w:rsidR="00D12104" w:rsidRPr="004D56FB" w:rsidRDefault="00D12104" w:rsidP="00935A87">
      <w:pPr>
        <w:spacing w:before="60"/>
      </w:pPr>
    </w:p>
    <w:p w14:paraId="6D717D0D" w14:textId="77777777" w:rsidR="00465C65" w:rsidRDefault="00465C65" w:rsidP="00465C65">
      <w:pPr>
        <w:adjustRightInd w:val="0"/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D74539" w14:textId="23553CAA" w:rsidR="00465C65" w:rsidRPr="00D12104" w:rsidRDefault="00465C65" w:rsidP="00465C65">
      <w:pPr>
        <w:spacing w:before="60" w:after="0"/>
        <w:rPr>
          <w:rFonts w:ascii="Arial" w:hAnsi="Arial" w:cs="Arial"/>
        </w:rPr>
      </w:pPr>
      <w:r w:rsidRPr="00D12104">
        <w:rPr>
          <w:rFonts w:ascii="Arial" w:eastAsia="Times" w:hAnsi="Arial" w:cs="Arial"/>
          <w:sz w:val="20"/>
          <w:lang w:eastAsia="en-AU"/>
        </w:rPr>
        <w:t xml:space="preserve">For further information refer to the </w:t>
      </w:r>
      <w:hyperlink r:id="rId18" w:history="1">
        <w:r w:rsidRPr="00D12104">
          <w:rPr>
            <w:rStyle w:val="Hyperlink"/>
            <w:rFonts w:ascii="Arial" w:eastAsia="Times" w:hAnsi="Arial" w:cs="Arial"/>
            <w:sz w:val="20"/>
            <w:lang w:eastAsia="en-AU"/>
          </w:rPr>
          <w:t>Enterprise Risk Management Framework</w:t>
        </w:r>
      </w:hyperlink>
      <w:r w:rsidRPr="00D12104">
        <w:rPr>
          <w:rFonts w:ascii="Arial" w:eastAsia="Times" w:hAnsi="Arial" w:cs="Arial"/>
          <w:sz w:val="20"/>
          <w:lang w:eastAsia="en-AU"/>
        </w:rPr>
        <w:t xml:space="preserve"> or </w:t>
      </w:r>
      <w:hyperlink r:id="rId19" w:history="1">
        <w:r w:rsidRPr="00D12104">
          <w:rPr>
            <w:rStyle w:val="Hyperlink"/>
            <w:rFonts w:ascii="Arial" w:eastAsia="Times" w:hAnsi="Arial" w:cs="Arial"/>
            <w:sz w:val="20"/>
            <w:lang w:eastAsia="en-AU"/>
          </w:rPr>
          <w:t>Policy and Procedure Register</w:t>
        </w:r>
      </w:hyperlink>
      <w:r w:rsidRPr="00D12104">
        <w:rPr>
          <w:rFonts w:ascii="Arial" w:eastAsia="Times" w:hAnsi="Arial" w:cs="Arial"/>
          <w:sz w:val="20"/>
          <w:lang w:eastAsia="en-AU"/>
        </w:rPr>
        <w:t xml:space="preserve"> or email </w:t>
      </w:r>
      <w:hyperlink r:id="rId20" w:history="1">
        <w:r w:rsidRPr="00D12104">
          <w:rPr>
            <w:rStyle w:val="Hyperlink"/>
            <w:rFonts w:ascii="Arial" w:eastAsia="Times" w:hAnsi="Arial" w:cs="Arial"/>
            <w:sz w:val="20"/>
            <w:lang w:eastAsia="en-AU"/>
          </w:rPr>
          <w:t>enterprise.riskmanagement@qed.qld.gov.au</w:t>
        </w:r>
      </w:hyperlink>
      <w:r w:rsidRPr="00D12104">
        <w:rPr>
          <w:rFonts w:ascii="Arial" w:eastAsia="Times" w:hAnsi="Arial" w:cs="Arial"/>
          <w:lang w:eastAsia="en-AU"/>
        </w:rPr>
        <w:t xml:space="preserve"> </w:t>
      </w:r>
    </w:p>
    <w:p w14:paraId="111B2DB5" w14:textId="77777777" w:rsidR="006F6489" w:rsidRPr="003F2D21" w:rsidRDefault="006F6489" w:rsidP="00D12104">
      <w:pPr>
        <w:pStyle w:val="ListParagraph"/>
        <w:adjustRightInd w:val="0"/>
        <w:snapToGrid w:val="0"/>
        <w:spacing w:before="120" w:after="120"/>
        <w:ind w:left="360"/>
        <w:rPr>
          <w:sz w:val="20"/>
          <w:szCs w:val="20"/>
          <w:lang w:val="en-US"/>
        </w:rPr>
      </w:pPr>
    </w:p>
    <w:sectPr w:rsidR="006F6489" w:rsidRPr="003F2D21" w:rsidSect="00461998">
      <w:headerReference w:type="default" r:id="rId21"/>
      <w:footerReference w:type="default" r:id="rId22"/>
      <w:footerReference w:type="first" r:id="rId23"/>
      <w:pgSz w:w="11906" w:h="16838"/>
      <w:pgMar w:top="720" w:right="720" w:bottom="720" w:left="720" w:header="680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5FD7" w14:textId="77777777" w:rsidR="000E7D16" w:rsidRDefault="000E7D16" w:rsidP="006F6489">
      <w:pPr>
        <w:spacing w:after="0" w:line="240" w:lineRule="auto"/>
      </w:pPr>
      <w:r>
        <w:separator/>
      </w:r>
    </w:p>
  </w:endnote>
  <w:endnote w:type="continuationSeparator" w:id="0">
    <w:p w14:paraId="44C04892" w14:textId="77777777" w:rsidR="000E7D16" w:rsidRDefault="000E7D16" w:rsidP="006F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5986A" w14:textId="11864B72" w:rsidR="00F84745" w:rsidRDefault="00A27779" w:rsidP="00F84745">
    <w:pPr>
      <w:pStyle w:val="Footer"/>
      <w:tabs>
        <w:tab w:val="clear" w:pos="9026"/>
        <w:tab w:val="right" w:pos="10490"/>
      </w:tabs>
      <w:rPr>
        <w:rFonts w:ascii="Arial" w:hAnsi="Arial" w:cs="Arial"/>
        <w:b/>
        <w:sz w:val="18"/>
        <w:szCs w:val="18"/>
      </w:rPr>
    </w:pPr>
    <w:r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7456" behindDoc="1" locked="0" layoutInCell="1" allowOverlap="1" wp14:anchorId="71337D4D" wp14:editId="58FC3497">
          <wp:simplePos x="0" y="0"/>
          <wp:positionH relativeFrom="page">
            <wp:posOffset>0</wp:posOffset>
          </wp:positionH>
          <wp:positionV relativeFrom="paragraph">
            <wp:posOffset>-81280</wp:posOffset>
          </wp:positionV>
          <wp:extent cx="7620000" cy="1121229"/>
          <wp:effectExtent l="0" t="0" r="0" b="3175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21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EB8F9" w14:textId="527299E2" w:rsidR="00F84745" w:rsidRPr="00042829" w:rsidRDefault="00F84745" w:rsidP="00F84745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042829">
      <w:rPr>
        <w:rFonts w:ascii="Arial" w:hAnsi="Arial" w:cs="Arial"/>
        <w:b/>
        <w:sz w:val="18"/>
        <w:szCs w:val="18"/>
      </w:rPr>
      <w:t xml:space="preserve">Uncontrolled </w:t>
    </w:r>
    <w:r>
      <w:rPr>
        <w:rFonts w:ascii="Arial" w:hAnsi="Arial" w:cs="Arial"/>
        <w:b/>
        <w:sz w:val="18"/>
        <w:szCs w:val="18"/>
      </w:rPr>
      <w:t>c</w:t>
    </w:r>
    <w:r w:rsidRPr="00042829">
      <w:rPr>
        <w:rFonts w:ascii="Arial" w:hAnsi="Arial" w:cs="Arial"/>
        <w:b/>
        <w:sz w:val="18"/>
        <w:szCs w:val="18"/>
      </w:rPr>
      <w:t>opy</w:t>
    </w:r>
    <w:r w:rsidRPr="00042829">
      <w:rPr>
        <w:rFonts w:ascii="Arial" w:hAnsi="Arial" w:cs="Arial"/>
        <w:sz w:val="18"/>
        <w:szCs w:val="18"/>
      </w:rPr>
      <w:t>. Refer to the Department of Education Policy and Procedure Register at</w:t>
    </w:r>
  </w:p>
  <w:p w14:paraId="034B0CB7" w14:textId="4BC753F2" w:rsidR="00F84745" w:rsidRPr="00042829" w:rsidRDefault="007533D2" w:rsidP="00A27779">
    <w:pPr>
      <w:pStyle w:val="Footer"/>
      <w:tabs>
        <w:tab w:val="clear" w:pos="9026"/>
        <w:tab w:val="right" w:pos="9356"/>
        <w:tab w:val="right" w:pos="10466"/>
      </w:tabs>
      <w:rPr>
        <w:rFonts w:ascii="Arial" w:hAnsi="Arial" w:cs="Arial"/>
        <w:sz w:val="18"/>
        <w:szCs w:val="18"/>
      </w:rPr>
    </w:pPr>
    <w:hyperlink r:id="rId2" w:history="1">
      <w:r w:rsidRPr="00EA447B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>
      <w:rPr>
        <w:rFonts w:ascii="Arial" w:hAnsi="Arial" w:cs="Arial"/>
        <w:sz w:val="18"/>
        <w:szCs w:val="18"/>
      </w:rPr>
      <w:t xml:space="preserve"> </w:t>
    </w:r>
    <w:r w:rsidR="00F84745" w:rsidRPr="00042829">
      <w:rPr>
        <w:rFonts w:ascii="Arial" w:hAnsi="Arial" w:cs="Arial"/>
        <w:sz w:val="18"/>
        <w:szCs w:val="18"/>
      </w:rPr>
      <w:t xml:space="preserve">to ensure you have the most current version. </w:t>
    </w:r>
    <w:r w:rsidR="002F3F33">
      <w:rPr>
        <w:rFonts w:ascii="Arial" w:hAnsi="Arial" w:cs="Arial"/>
        <w:sz w:val="18"/>
        <w:szCs w:val="18"/>
      </w:rPr>
      <w:br/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6432" behindDoc="1" locked="0" layoutInCell="1" allowOverlap="1" wp14:anchorId="3F834A59" wp14:editId="2AC80B34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3" name="Picture 15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5408" behindDoc="1" locked="0" layoutInCell="1" allowOverlap="1" wp14:anchorId="57629FAF" wp14:editId="7D94D596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4" name="Picture 15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4384" behindDoc="1" locked="0" layoutInCell="1" allowOverlap="1" wp14:anchorId="51D2D39A" wp14:editId="200C9B6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5" name="Picture 155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8"/>
        </w:rPr>
        <w:id w:val="4734894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23363603"/>
            <w:docPartObj>
              <w:docPartGallery w:val="Page Numbers (Top of Page)"/>
              <w:docPartUnique/>
            </w:docPartObj>
          </w:sdtPr>
          <w:sdtEndPr/>
          <w:sdtContent>
            <w:r w:rsidR="00F84745" w:rsidRPr="000428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84745" w:rsidRPr="0004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A27779">
      <w:rPr>
        <w:rFonts w:ascii="Arial" w:hAnsi="Arial" w:cs="Arial"/>
        <w:sz w:val="18"/>
        <w:szCs w:val="18"/>
      </w:rPr>
      <w:tab/>
    </w:r>
  </w:p>
  <w:p w14:paraId="6FC76DA4" w14:textId="77777777" w:rsidR="00F84745" w:rsidRDefault="00F84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1DC9" w14:textId="45CB61AD" w:rsidR="00F84745" w:rsidRPr="00042829" w:rsidRDefault="00F84745" w:rsidP="00A27779">
    <w:pPr>
      <w:pStyle w:val="Footer"/>
      <w:tabs>
        <w:tab w:val="clear" w:pos="4513"/>
        <w:tab w:val="clear" w:pos="9026"/>
        <w:tab w:val="left" w:pos="1456"/>
      </w:tabs>
      <w:rPr>
        <w:rFonts w:ascii="Arial" w:hAnsi="Arial" w:cs="Arial"/>
        <w:sz w:val="18"/>
        <w:szCs w:val="18"/>
      </w:rPr>
    </w:pPr>
    <w:r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2336" behindDoc="1" locked="0" layoutInCell="1" allowOverlap="1" wp14:anchorId="3873DE94" wp14:editId="4BBC9BAC">
          <wp:simplePos x="0" y="0"/>
          <wp:positionH relativeFrom="page">
            <wp:posOffset>0</wp:posOffset>
          </wp:positionH>
          <wp:positionV relativeFrom="paragraph">
            <wp:posOffset>-95885</wp:posOffset>
          </wp:positionV>
          <wp:extent cx="7616915" cy="944129"/>
          <wp:effectExtent l="0" t="0" r="3175" b="889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15" cy="944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29">
      <w:rPr>
        <w:rFonts w:ascii="Arial" w:hAnsi="Arial" w:cs="Arial"/>
        <w:b/>
        <w:sz w:val="18"/>
        <w:szCs w:val="18"/>
      </w:rPr>
      <w:t xml:space="preserve">Uncontrolled </w:t>
    </w:r>
    <w:r>
      <w:rPr>
        <w:rFonts w:ascii="Arial" w:hAnsi="Arial" w:cs="Arial"/>
        <w:b/>
        <w:sz w:val="18"/>
        <w:szCs w:val="18"/>
      </w:rPr>
      <w:t>c</w:t>
    </w:r>
    <w:r w:rsidRPr="00042829">
      <w:rPr>
        <w:rFonts w:ascii="Arial" w:hAnsi="Arial" w:cs="Arial"/>
        <w:b/>
        <w:sz w:val="18"/>
        <w:szCs w:val="18"/>
      </w:rPr>
      <w:t>opy</w:t>
    </w:r>
    <w:r w:rsidRPr="00042829">
      <w:rPr>
        <w:rFonts w:ascii="Arial" w:hAnsi="Arial" w:cs="Arial"/>
        <w:sz w:val="18"/>
        <w:szCs w:val="18"/>
      </w:rPr>
      <w:t>. Refer to the Department of Education Policy and Procedure Register at</w:t>
    </w:r>
  </w:p>
  <w:p w14:paraId="3C4B8681" w14:textId="0E4B0F7F" w:rsidR="00F84745" w:rsidRPr="00042829" w:rsidRDefault="007533D2" w:rsidP="00F84745">
    <w:pPr>
      <w:pStyle w:val="Footer"/>
      <w:tabs>
        <w:tab w:val="clear" w:pos="9026"/>
        <w:tab w:val="right" w:pos="9356"/>
      </w:tabs>
      <w:rPr>
        <w:rFonts w:ascii="Arial" w:hAnsi="Arial" w:cs="Arial"/>
        <w:sz w:val="18"/>
        <w:szCs w:val="18"/>
      </w:rPr>
    </w:pPr>
    <w:hyperlink r:id="rId2" w:history="1">
      <w:r w:rsidRPr="00EA447B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>
      <w:rPr>
        <w:rFonts w:ascii="Arial" w:hAnsi="Arial" w:cs="Arial"/>
        <w:sz w:val="18"/>
        <w:szCs w:val="18"/>
      </w:rPr>
      <w:t xml:space="preserve"> </w:t>
    </w:r>
    <w:r w:rsidR="00F84745" w:rsidRPr="00042829">
      <w:rPr>
        <w:rFonts w:ascii="Arial" w:hAnsi="Arial" w:cs="Arial"/>
        <w:sz w:val="18"/>
        <w:szCs w:val="18"/>
      </w:rPr>
      <w:t xml:space="preserve">to ensure you have the most current version. </w:t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1312" behindDoc="1" locked="0" layoutInCell="1" allowOverlap="1" wp14:anchorId="25EA1178" wp14:editId="1FAD0030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7" name="Picture 157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60288" behindDoc="1" locked="0" layoutInCell="1" allowOverlap="1" wp14:anchorId="4AECF1E0" wp14:editId="7F08004E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8" name="Picture 158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45" w:rsidRPr="00042829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59264" behindDoc="1" locked="0" layoutInCell="1" allowOverlap="1" wp14:anchorId="710099AF" wp14:editId="3F14B766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159" name="Picture 159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45" w:rsidRPr="00042829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0053868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2060006792"/>
            <w:docPartObj>
              <w:docPartGallery w:val="Page Numbers (Top of Page)"/>
              <w:docPartUnique/>
            </w:docPartObj>
          </w:sdtPr>
          <w:sdtEndPr/>
          <w:sdtContent>
            <w:r w:rsidR="002F3F33">
              <w:rPr>
                <w:rFonts w:ascii="Arial" w:hAnsi="Arial" w:cs="Arial"/>
                <w:sz w:val="18"/>
                <w:szCs w:val="18"/>
              </w:rPr>
              <w:br/>
            </w:r>
            <w:r w:rsidR="00F84745" w:rsidRPr="000428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84745" w:rsidRPr="0004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F84745" w:rsidRPr="000428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7E38DFB" w14:textId="77777777" w:rsidR="00F84745" w:rsidRDefault="00F8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3272" w14:textId="77777777" w:rsidR="000E7D16" w:rsidRDefault="000E7D16" w:rsidP="006F6489">
      <w:pPr>
        <w:spacing w:after="0" w:line="240" w:lineRule="auto"/>
      </w:pPr>
      <w:r>
        <w:separator/>
      </w:r>
    </w:p>
  </w:footnote>
  <w:footnote w:type="continuationSeparator" w:id="0">
    <w:p w14:paraId="77D28E71" w14:textId="77777777" w:rsidR="000E7D16" w:rsidRDefault="000E7D16" w:rsidP="006F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B540" w14:textId="3B9E445C" w:rsidR="0005793D" w:rsidRDefault="0005793D">
    <w:pPr>
      <w:pStyle w:val="Header"/>
    </w:pPr>
    <w:r w:rsidRPr="000C0119">
      <w:rPr>
        <w:noProof/>
        <w:lang w:val="en-AU" w:eastAsia="zh-CN"/>
      </w:rPr>
      <w:drawing>
        <wp:anchor distT="0" distB="0" distL="114300" distR="114300" simplePos="0" relativeHeight="251657216" behindDoc="0" locked="0" layoutInCell="1" allowOverlap="1" wp14:anchorId="75002DD8" wp14:editId="0E6270B7">
          <wp:simplePos x="0" y="0"/>
          <wp:positionH relativeFrom="column">
            <wp:posOffset>-363682</wp:posOffset>
          </wp:positionH>
          <wp:positionV relativeFrom="paragraph">
            <wp:posOffset>-442191</wp:posOffset>
          </wp:positionV>
          <wp:extent cx="7442200" cy="1049482"/>
          <wp:effectExtent l="0" t="0" r="0" b="0"/>
          <wp:wrapNone/>
          <wp:docPr id="151" name="Picture 151" descr="\\corp.qed.qld.gov.au\DFSCoredata\6578_Strategy and Performance\SP_Shared\JMS\Jobs\32359\Header and footer graphics\SP A4 Page Portrait_Head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qed.qld.gov.au\DFSCoredata\6578_Strategy and Performance\SP_Shared\JMS\Jobs\32359\Header and footer graphics\SP A4 Page Portrait_Header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67" cy="1066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D4"/>
    <w:multiLevelType w:val="hybridMultilevel"/>
    <w:tmpl w:val="26ACF4EC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B3713"/>
    <w:multiLevelType w:val="hybridMultilevel"/>
    <w:tmpl w:val="8318CECC"/>
    <w:lvl w:ilvl="0" w:tplc="19145670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87CB5"/>
    <w:multiLevelType w:val="hybridMultilevel"/>
    <w:tmpl w:val="DB340BFE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00D"/>
    <w:multiLevelType w:val="hybridMultilevel"/>
    <w:tmpl w:val="DAAC9BEA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6041"/>
    <w:multiLevelType w:val="hybridMultilevel"/>
    <w:tmpl w:val="B1660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914DC"/>
    <w:multiLevelType w:val="hybridMultilevel"/>
    <w:tmpl w:val="E13AF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437AC"/>
    <w:multiLevelType w:val="hybridMultilevel"/>
    <w:tmpl w:val="FC643D02"/>
    <w:lvl w:ilvl="0" w:tplc="E20C8B20">
      <w:start w:val="1"/>
      <w:numFmt w:val="decimal"/>
      <w:pStyle w:val="Heading2-numbered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8DD5FAF"/>
    <w:multiLevelType w:val="hybridMultilevel"/>
    <w:tmpl w:val="6188097E"/>
    <w:lvl w:ilvl="0" w:tplc="487AE41A">
      <w:start w:val="1"/>
      <w:numFmt w:val="bullet"/>
      <w:lvlText w:val="-"/>
      <w:lvlJc w:val="left"/>
      <w:pPr>
        <w:ind w:left="764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2D8E617D"/>
    <w:multiLevelType w:val="hybridMultilevel"/>
    <w:tmpl w:val="30E40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1654F"/>
    <w:multiLevelType w:val="hybridMultilevel"/>
    <w:tmpl w:val="AB9E3E8E"/>
    <w:lvl w:ilvl="0" w:tplc="B5AE5B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6AA"/>
    <w:multiLevelType w:val="hybridMultilevel"/>
    <w:tmpl w:val="C510A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D4157"/>
    <w:multiLevelType w:val="hybridMultilevel"/>
    <w:tmpl w:val="D924ECC4"/>
    <w:lvl w:ilvl="0" w:tplc="B5AE5B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3223C"/>
    <w:multiLevelType w:val="hybridMultilevel"/>
    <w:tmpl w:val="14545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5719E"/>
    <w:multiLevelType w:val="hybridMultilevel"/>
    <w:tmpl w:val="1E22602E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71068"/>
    <w:multiLevelType w:val="hybridMultilevel"/>
    <w:tmpl w:val="508A2802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987"/>
    <w:multiLevelType w:val="hybridMultilevel"/>
    <w:tmpl w:val="2CE48F9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57EAE"/>
    <w:multiLevelType w:val="hybridMultilevel"/>
    <w:tmpl w:val="A0C2D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C386A"/>
    <w:multiLevelType w:val="hybridMultilevel"/>
    <w:tmpl w:val="D678790A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0826"/>
    <w:multiLevelType w:val="hybridMultilevel"/>
    <w:tmpl w:val="AF1C5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1474E"/>
    <w:multiLevelType w:val="hybridMultilevel"/>
    <w:tmpl w:val="6AB899FA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6433C"/>
    <w:multiLevelType w:val="hybridMultilevel"/>
    <w:tmpl w:val="0FD833C6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27CCC"/>
    <w:multiLevelType w:val="hybridMultilevel"/>
    <w:tmpl w:val="007E4C12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3F74"/>
    <w:multiLevelType w:val="hybridMultilevel"/>
    <w:tmpl w:val="229E70CE"/>
    <w:lvl w:ilvl="0" w:tplc="B5AE5B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3441C"/>
    <w:multiLevelType w:val="hybridMultilevel"/>
    <w:tmpl w:val="646881A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2DA6D6E"/>
    <w:multiLevelType w:val="hybridMultilevel"/>
    <w:tmpl w:val="DCCCFA80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5D626C"/>
    <w:multiLevelType w:val="hybridMultilevel"/>
    <w:tmpl w:val="181EACA2"/>
    <w:lvl w:ilvl="0" w:tplc="19145670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07DB7"/>
    <w:multiLevelType w:val="hybridMultilevel"/>
    <w:tmpl w:val="3F5658E2"/>
    <w:lvl w:ilvl="0" w:tplc="AE6A8E44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76B67F7F"/>
    <w:multiLevelType w:val="hybridMultilevel"/>
    <w:tmpl w:val="E14224C6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16233"/>
    <w:multiLevelType w:val="hybridMultilevel"/>
    <w:tmpl w:val="1D2A56B8"/>
    <w:lvl w:ilvl="0" w:tplc="B5AE5B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"/>
  </w:num>
  <w:num w:numId="5">
    <w:abstractNumId w:val="25"/>
  </w:num>
  <w:num w:numId="6">
    <w:abstractNumId w:val="12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22"/>
  </w:num>
  <w:num w:numId="15">
    <w:abstractNumId w:val="7"/>
  </w:num>
  <w:num w:numId="16">
    <w:abstractNumId w:val="11"/>
  </w:num>
  <w:num w:numId="17">
    <w:abstractNumId w:val="28"/>
  </w:num>
  <w:num w:numId="18">
    <w:abstractNumId w:val="26"/>
  </w:num>
  <w:num w:numId="19">
    <w:abstractNumId w:val="13"/>
  </w:num>
  <w:num w:numId="20">
    <w:abstractNumId w:val="21"/>
  </w:num>
  <w:num w:numId="21">
    <w:abstractNumId w:val="3"/>
  </w:num>
  <w:num w:numId="22">
    <w:abstractNumId w:val="19"/>
  </w:num>
  <w:num w:numId="23">
    <w:abstractNumId w:val="17"/>
  </w:num>
  <w:num w:numId="24">
    <w:abstractNumId w:val="2"/>
  </w:num>
  <w:num w:numId="25">
    <w:abstractNumId w:val="14"/>
  </w:num>
  <w:num w:numId="26">
    <w:abstractNumId w:val="20"/>
  </w:num>
  <w:num w:numId="27">
    <w:abstractNumId w:val="27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89"/>
    <w:rsid w:val="00003061"/>
    <w:rsid w:val="00004918"/>
    <w:rsid w:val="00032EE0"/>
    <w:rsid w:val="00044319"/>
    <w:rsid w:val="0005793D"/>
    <w:rsid w:val="000932A0"/>
    <w:rsid w:val="000A2B03"/>
    <w:rsid w:val="000D0E71"/>
    <w:rsid w:val="000E7D16"/>
    <w:rsid w:val="00112818"/>
    <w:rsid w:val="00114C4A"/>
    <w:rsid w:val="00125B84"/>
    <w:rsid w:val="00126762"/>
    <w:rsid w:val="00136640"/>
    <w:rsid w:val="00152FA6"/>
    <w:rsid w:val="00173328"/>
    <w:rsid w:val="001A36F3"/>
    <w:rsid w:val="001B47D6"/>
    <w:rsid w:val="001C126B"/>
    <w:rsid w:val="001D5D61"/>
    <w:rsid w:val="00220543"/>
    <w:rsid w:val="0027343D"/>
    <w:rsid w:val="00276D2D"/>
    <w:rsid w:val="0027741E"/>
    <w:rsid w:val="002A4186"/>
    <w:rsid w:val="002D0ED4"/>
    <w:rsid w:val="002F3F33"/>
    <w:rsid w:val="003023F1"/>
    <w:rsid w:val="00321C08"/>
    <w:rsid w:val="00342C3C"/>
    <w:rsid w:val="00343D77"/>
    <w:rsid w:val="00380515"/>
    <w:rsid w:val="00380A0D"/>
    <w:rsid w:val="003B1D70"/>
    <w:rsid w:val="003B35C7"/>
    <w:rsid w:val="003C4760"/>
    <w:rsid w:val="003D25FB"/>
    <w:rsid w:val="003F2D21"/>
    <w:rsid w:val="003F3195"/>
    <w:rsid w:val="003F7FE1"/>
    <w:rsid w:val="00401EBA"/>
    <w:rsid w:val="00414100"/>
    <w:rsid w:val="004213D2"/>
    <w:rsid w:val="00433CAA"/>
    <w:rsid w:val="00454E78"/>
    <w:rsid w:val="00461998"/>
    <w:rsid w:val="00465C65"/>
    <w:rsid w:val="00484779"/>
    <w:rsid w:val="00484FBD"/>
    <w:rsid w:val="004E7BB9"/>
    <w:rsid w:val="00516820"/>
    <w:rsid w:val="00523759"/>
    <w:rsid w:val="00523C8B"/>
    <w:rsid w:val="005258A9"/>
    <w:rsid w:val="00526783"/>
    <w:rsid w:val="00544716"/>
    <w:rsid w:val="00551A9A"/>
    <w:rsid w:val="00586745"/>
    <w:rsid w:val="0059633C"/>
    <w:rsid w:val="005A15F0"/>
    <w:rsid w:val="005A5948"/>
    <w:rsid w:val="005F2628"/>
    <w:rsid w:val="00605FC0"/>
    <w:rsid w:val="00621D9E"/>
    <w:rsid w:val="00631ED9"/>
    <w:rsid w:val="006609AA"/>
    <w:rsid w:val="00672433"/>
    <w:rsid w:val="00672510"/>
    <w:rsid w:val="006877FA"/>
    <w:rsid w:val="006950BD"/>
    <w:rsid w:val="006B2C02"/>
    <w:rsid w:val="006F4C14"/>
    <w:rsid w:val="006F6489"/>
    <w:rsid w:val="006F6E99"/>
    <w:rsid w:val="00704C74"/>
    <w:rsid w:val="00710A09"/>
    <w:rsid w:val="00725DD7"/>
    <w:rsid w:val="00735AB0"/>
    <w:rsid w:val="00745257"/>
    <w:rsid w:val="00747AC7"/>
    <w:rsid w:val="007533D2"/>
    <w:rsid w:val="007A4A20"/>
    <w:rsid w:val="007C66E6"/>
    <w:rsid w:val="007F0670"/>
    <w:rsid w:val="00825FF3"/>
    <w:rsid w:val="0083624D"/>
    <w:rsid w:val="00853C78"/>
    <w:rsid w:val="0086049C"/>
    <w:rsid w:val="00881E95"/>
    <w:rsid w:val="008843A7"/>
    <w:rsid w:val="008D006F"/>
    <w:rsid w:val="008F344C"/>
    <w:rsid w:val="009019E1"/>
    <w:rsid w:val="00913C51"/>
    <w:rsid w:val="00935A87"/>
    <w:rsid w:val="00942AE7"/>
    <w:rsid w:val="0097187D"/>
    <w:rsid w:val="0097588F"/>
    <w:rsid w:val="009775FE"/>
    <w:rsid w:val="00993226"/>
    <w:rsid w:val="0099447C"/>
    <w:rsid w:val="009A0E72"/>
    <w:rsid w:val="009E57F1"/>
    <w:rsid w:val="00A204C7"/>
    <w:rsid w:val="00A27779"/>
    <w:rsid w:val="00A621A0"/>
    <w:rsid w:val="00A81822"/>
    <w:rsid w:val="00AC6979"/>
    <w:rsid w:val="00AE0FE5"/>
    <w:rsid w:val="00AE2109"/>
    <w:rsid w:val="00AF4947"/>
    <w:rsid w:val="00AF6456"/>
    <w:rsid w:val="00AF7CED"/>
    <w:rsid w:val="00B53833"/>
    <w:rsid w:val="00B63AB4"/>
    <w:rsid w:val="00B75241"/>
    <w:rsid w:val="00BA45BC"/>
    <w:rsid w:val="00BC3291"/>
    <w:rsid w:val="00BD5A80"/>
    <w:rsid w:val="00BE19FA"/>
    <w:rsid w:val="00C00AB9"/>
    <w:rsid w:val="00C533E5"/>
    <w:rsid w:val="00C608FE"/>
    <w:rsid w:val="00C65A66"/>
    <w:rsid w:val="00C914A0"/>
    <w:rsid w:val="00CE4FB7"/>
    <w:rsid w:val="00D12104"/>
    <w:rsid w:val="00D167BB"/>
    <w:rsid w:val="00D62A96"/>
    <w:rsid w:val="00D63F0F"/>
    <w:rsid w:val="00D65756"/>
    <w:rsid w:val="00D811BC"/>
    <w:rsid w:val="00DB7616"/>
    <w:rsid w:val="00DC6BC7"/>
    <w:rsid w:val="00DD1DF0"/>
    <w:rsid w:val="00E008FF"/>
    <w:rsid w:val="00E57491"/>
    <w:rsid w:val="00E85117"/>
    <w:rsid w:val="00EB6262"/>
    <w:rsid w:val="00ED577F"/>
    <w:rsid w:val="00F0365B"/>
    <w:rsid w:val="00F209CB"/>
    <w:rsid w:val="00F244C6"/>
    <w:rsid w:val="00F4100E"/>
    <w:rsid w:val="00F4618F"/>
    <w:rsid w:val="00F5422E"/>
    <w:rsid w:val="00F76AC0"/>
    <w:rsid w:val="00F83C26"/>
    <w:rsid w:val="00F84745"/>
    <w:rsid w:val="00F87D9F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4ED700C"/>
  <w15:docId w15:val="{2CB56E40-1157-40A9-8BFE-A78E8665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89"/>
    <w:pPr>
      <w:widowControl w:val="0"/>
    </w:pPr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9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9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A2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4C7"/>
    <w:pPr>
      <w:widowControl/>
      <w:spacing w:after="24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2D0E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3D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79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793D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3D"/>
    <w:rPr>
      <w:rFonts w:eastAsiaTheme="minorHAnsi"/>
      <w:b/>
      <w:bCs/>
      <w:sz w:val="20"/>
      <w:szCs w:val="20"/>
      <w:lang w:val="en-US" w:eastAsia="en-US"/>
    </w:rPr>
  </w:style>
  <w:style w:type="paragraph" w:customStyle="1" w:styleId="Bodycopy">
    <w:name w:val="Body copy"/>
    <w:basedOn w:val="BlockText"/>
    <w:link w:val="BodycopyChar"/>
    <w:qFormat/>
    <w:rsid w:val="005A15F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300" w:lineRule="exact"/>
      <w:ind w:left="0" w:right="0"/>
    </w:pPr>
    <w:rPr>
      <w:rFonts w:ascii="Arial" w:eastAsia="Times" w:hAnsi="Arial" w:cs="Times New Roman"/>
      <w:i w:val="0"/>
      <w:iCs w:val="0"/>
      <w:color w:val="auto"/>
      <w:sz w:val="20"/>
      <w:szCs w:val="20"/>
      <w:lang w:val="en-AU" w:eastAsia="en-AU"/>
    </w:rPr>
  </w:style>
  <w:style w:type="character" w:customStyle="1" w:styleId="BodycopyChar">
    <w:name w:val="Body copy Char"/>
    <w:link w:val="Bodycopy"/>
    <w:rsid w:val="005A15F0"/>
    <w:rPr>
      <w:rFonts w:ascii="Arial" w:eastAsia="Times" w:hAnsi="Arial" w:cs="Times New Roman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A15F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C47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Heading2-numbered">
    <w:name w:val="Heading 2 - numbered"/>
    <w:basedOn w:val="Heading2"/>
    <w:link w:val="Heading2-numberedChar"/>
    <w:qFormat/>
    <w:rsid w:val="00F87D9F"/>
    <w:pPr>
      <w:widowControl/>
      <w:numPr>
        <w:numId w:val="11"/>
      </w:numPr>
      <w:spacing w:before="200" w:after="10" w:line="360" w:lineRule="auto"/>
      <w:ind w:left="426" w:hanging="426"/>
    </w:pPr>
    <w:rPr>
      <w:rFonts w:ascii="Arial" w:hAnsi="Arial" w:cs="Arial"/>
      <w:b/>
      <w:color w:val="705AC5"/>
      <w:sz w:val="28"/>
      <w:lang w:eastAsia="zh-TW"/>
    </w:rPr>
  </w:style>
  <w:style w:type="character" w:customStyle="1" w:styleId="Heading2-numberedChar">
    <w:name w:val="Heading 2 - numbered Char"/>
    <w:basedOn w:val="Heading2Char"/>
    <w:link w:val="Heading2-numbered"/>
    <w:rsid w:val="00F87D9F"/>
    <w:rPr>
      <w:rFonts w:ascii="Arial" w:eastAsiaTheme="majorEastAsia" w:hAnsi="Arial" w:cs="Arial"/>
      <w:b/>
      <w:color w:val="705AC5"/>
      <w:sz w:val="28"/>
      <w:szCs w:val="26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ISheading">
    <w:name w:val="IS heading"/>
    <w:basedOn w:val="Heading1"/>
    <w:link w:val="ISheadingChar"/>
    <w:qFormat/>
    <w:rsid w:val="00A81822"/>
    <w:pPr>
      <w:widowControl/>
      <w:tabs>
        <w:tab w:val="left" w:pos="0"/>
      </w:tabs>
      <w:spacing w:line="240" w:lineRule="auto"/>
      <w:jc w:val="both"/>
    </w:pPr>
    <w:rPr>
      <w:rFonts w:ascii="Arial" w:hAnsi="Arial" w:cs="Arial"/>
      <w:b/>
      <w:color w:val="5F497A" w:themeColor="accent4" w:themeShade="BF"/>
      <w:sz w:val="36"/>
    </w:rPr>
  </w:style>
  <w:style w:type="character" w:customStyle="1" w:styleId="ISheadingChar">
    <w:name w:val="IS heading Char"/>
    <w:basedOn w:val="Heading1Char"/>
    <w:link w:val="ISheading"/>
    <w:rsid w:val="00A81822"/>
    <w:rPr>
      <w:rFonts w:ascii="Arial" w:eastAsiaTheme="majorEastAsia" w:hAnsi="Arial" w:cs="Arial"/>
      <w:b/>
      <w:color w:val="5F497A" w:themeColor="accent4" w:themeShade="BF"/>
      <w:sz w:val="36"/>
      <w:szCs w:val="32"/>
      <w:lang w:val="en-US" w:eastAsia="en-US"/>
    </w:rPr>
  </w:style>
  <w:style w:type="paragraph" w:styleId="Revision">
    <w:name w:val="Revision"/>
    <w:hidden/>
    <w:uiPriority w:val="99"/>
    <w:semiHidden/>
    <w:rsid w:val="00454E78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dictionary.com/definition/process.html" TargetMode="External"/><Relationship Id="rId18" Type="http://schemas.openxmlformats.org/officeDocument/2006/relationships/hyperlink" Target="https://ppr.mpe.qed.qld.gov.au/attachment/enterprise-risk-management-framework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businessdictionary.com/definition/tool.html" TargetMode="External"/><Relationship Id="rId17" Type="http://schemas.openxmlformats.org/officeDocument/2006/relationships/hyperlink" Target="http://www.businessdictionary.com/definition/information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sinessdictionary.com/definition/equipment.html" TargetMode="External"/><Relationship Id="rId20" Type="http://schemas.openxmlformats.org/officeDocument/2006/relationships/hyperlink" Target="mailto:enterprise.riskmanagement@qed.qld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businessdictionary.com/definition/associated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ppr.mpe.qed.qld.gov.au/pp/enterprise-risk-management-proced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usinessdictionary.com/definition/methodology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20/675597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2022-03-10T01:36:14+00:00</PPSubmittedDate>
    <PPRRiskcontrol xmlns="http://schemas.microsoft.com/sharepoint/v3">false</PPRRiskcontrol>
    <PPRHierarchyID xmlns="http://schemas.microsoft.com/sharepoint/v3">20/668317</PPRHierarchyID>
    <PPRBranch xmlns="http://schemas.microsoft.com/sharepoint/v3">Strategy and Performance</PPRBranch>
    <PPRDescription xmlns="http://schemas.microsoft.com/sharepoint/v3">Information sheet 3 – Responding to risk – controls and actions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KINSELLA, Marie</DisplayName>
        <AccountId>36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2022-03-10T01:43:03+00:00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2022-03-10T01:43:03+00:00</PPModeratedDate>
    <PPRBusinessUnit xmlns="http://schemas.microsoft.com/sharepoint/v3">Performance, Improvement and Risk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2021-02-01T01:32:13+00:00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marie.kinsella@qed.qld.gov.au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Nikki Tran,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4</PPRHPRMRevisionNumber>
    <PPRKeywords xmlns="http://schemas.microsoft.com/sharepoint/v3">31000:2009; assessing risk; EMB; Executive Management Board; ERM; ERMF; enterprise risk management framework; enterprise risk management policy; enterprise risk management procedure; governance and risk; managing risk; operational risk; program risk; project risk; risk action; risk appetite; risk assessment; risk control; risk management standard; risk reporting; risk assessment;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37EB4162-40BA-45F2-86C7-C3245944EF2E}"/>
</file>

<file path=customXml/itemProps2.xml><?xml version="1.0" encoding="utf-8"?>
<ds:datastoreItem xmlns:ds="http://schemas.openxmlformats.org/officeDocument/2006/customXml" ds:itemID="{4EB3FA53-50A1-4FA3-9D67-E7A68E57CFAB}"/>
</file>

<file path=customXml/itemProps3.xml><?xml version="1.0" encoding="utf-8"?>
<ds:datastoreItem xmlns:ds="http://schemas.openxmlformats.org/officeDocument/2006/customXml" ds:itemID="{91893D82-D40A-4E16-8BE6-B8C197106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3 – Responding to risk – controls and actions</dc:title>
  <dc:creator>MAGENDANZ, Douglas</dc:creator>
  <cp:lastModifiedBy>CAMERON, Simone</cp:lastModifiedBy>
  <cp:revision>4</cp:revision>
  <cp:lastPrinted>2019-11-15T02:45:00Z</cp:lastPrinted>
  <dcterms:created xsi:type="dcterms:W3CDTF">2021-02-01T01:15:00Z</dcterms:created>
  <dcterms:modified xsi:type="dcterms:W3CDTF">2021-02-01T01:32:00Z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24000</vt:r8>
  </property>
</Properties>
</file>