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6923B" w14:textId="77777777" w:rsidR="000C1DEC" w:rsidRDefault="000C1DEC" w:rsidP="00B9032E">
      <w:pPr>
        <w:pStyle w:val="Caption"/>
        <w:snapToGrid w:val="0"/>
        <w:spacing w:after="0"/>
        <w:rPr>
          <w:color w:val="auto"/>
        </w:rPr>
      </w:pPr>
    </w:p>
    <w:p w14:paraId="71398DAE" w14:textId="42E78F70" w:rsidR="007A0646" w:rsidRDefault="007A0646" w:rsidP="00B9032E">
      <w:pPr>
        <w:pStyle w:val="Caption"/>
        <w:snapToGrid w:val="0"/>
        <w:spacing w:after="0"/>
        <w:rPr>
          <w:color w:val="auto"/>
        </w:rPr>
      </w:pPr>
      <w:r>
        <w:rPr>
          <w:rFonts w:eastAsia="Times New Roman"/>
          <w:b w:val="0"/>
          <w:bCs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76B114" wp14:editId="35434103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737299" cy="797357"/>
                <wp:effectExtent l="0" t="0" r="0" b="31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299" cy="7973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36E4C" w14:textId="4FB79FF6" w:rsidR="007A0646" w:rsidRPr="00A6283C" w:rsidRDefault="007A0646" w:rsidP="007A0646">
                            <w:pPr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A6283C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Information sheet 4</w:t>
                            </w:r>
                          </w:p>
                          <w:p w14:paraId="31DB32ED" w14:textId="7F66682F" w:rsidR="007A0646" w:rsidRPr="00F4061B" w:rsidRDefault="007A0646" w:rsidP="007A0646">
                            <w:pPr>
                              <w:pStyle w:val="ISheading"/>
                              <w:pBdr>
                                <w:bottom w:val="single" w:sz="4" w:space="1" w:color="auto"/>
                              </w:pBdr>
                              <w:spacing w:line="276" w:lineRule="auto"/>
                              <w:rPr>
                                <w:color w:val="705AC5"/>
                              </w:rPr>
                            </w:pPr>
                            <w:r>
                              <w:rPr>
                                <w:color w:val="705AC5"/>
                              </w:rPr>
                              <w:t>Risk consequence categories</w:t>
                            </w:r>
                          </w:p>
                          <w:p w14:paraId="413D755B" w14:textId="77777777" w:rsidR="007A0646" w:rsidRPr="00FA6AEE" w:rsidRDefault="007A0646" w:rsidP="007A06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6B11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.55pt;width:530.5pt;height:62.8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" filled="f" stroked="f" strokeweight=".5pt">
                <v:textbox>
                  <w:txbxContent>
                    <w:p w14:paraId="4CF36E4C" w14:textId="4FB79FF6" w:rsidR="007A0646" w:rsidRPr="00A6283C" w:rsidRDefault="007A0646" w:rsidP="007A0646">
                      <w:pPr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A6283C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Information sheet 4</w:t>
                      </w:r>
                      <w:bookmarkStart w:id="1" w:name="_GoBack"/>
                      <w:bookmarkEnd w:id="1"/>
                    </w:p>
                    <w:p w14:paraId="31DB32ED" w14:textId="7F66682F" w:rsidR="007A0646" w:rsidRPr="00F4061B" w:rsidRDefault="007A0646" w:rsidP="007A0646">
                      <w:pPr>
                        <w:pStyle w:val="ISheading"/>
                        <w:pBdr>
                          <w:bottom w:val="single" w:sz="4" w:space="1" w:color="auto"/>
                        </w:pBdr>
                        <w:spacing w:line="276" w:lineRule="auto"/>
                        <w:rPr>
                          <w:color w:val="705AC5"/>
                        </w:rPr>
                      </w:pPr>
                      <w:r>
                        <w:rPr>
                          <w:color w:val="705AC5"/>
                        </w:rPr>
                        <w:t>Risk consequence categories</w:t>
                      </w:r>
                    </w:p>
                    <w:p w14:paraId="413D755B" w14:textId="77777777" w:rsidR="007A0646" w:rsidRPr="00FA6AEE" w:rsidRDefault="007A0646" w:rsidP="007A064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8441CE" w14:textId="4BA06975" w:rsidR="007A0646" w:rsidRDefault="007A0646" w:rsidP="00B9032E">
      <w:pPr>
        <w:pStyle w:val="Caption"/>
        <w:snapToGrid w:val="0"/>
        <w:spacing w:after="0"/>
        <w:rPr>
          <w:color w:val="auto"/>
        </w:rPr>
      </w:pPr>
    </w:p>
    <w:p w14:paraId="378128A4" w14:textId="2583F961" w:rsidR="004C50E7" w:rsidRDefault="004C50E7" w:rsidP="00B9032E">
      <w:pPr>
        <w:pStyle w:val="Caption"/>
        <w:snapToGrid w:val="0"/>
        <w:spacing w:after="0"/>
        <w:rPr>
          <w:color w:val="auto"/>
        </w:rPr>
      </w:pPr>
    </w:p>
    <w:p w14:paraId="2DFC7158" w14:textId="77777777" w:rsidR="007A0646" w:rsidRPr="007A0646" w:rsidRDefault="007A0646" w:rsidP="007A0646">
      <w:pPr>
        <w:rPr>
          <w:lang w:val="en-AU" w:eastAsia="zh-CN"/>
        </w:rPr>
      </w:pPr>
    </w:p>
    <w:p w14:paraId="36B62321" w14:textId="77777777" w:rsidR="007A0646" w:rsidRDefault="007A0646" w:rsidP="007A0646">
      <w:pPr>
        <w:snapToGrid w:val="0"/>
        <w:spacing w:after="0" w:line="240" w:lineRule="auto"/>
      </w:pPr>
    </w:p>
    <w:tbl>
      <w:tblPr>
        <w:tblStyle w:val="TableGrid"/>
        <w:tblW w:w="502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1754"/>
        <w:gridCol w:w="1754"/>
        <w:gridCol w:w="1754"/>
        <w:gridCol w:w="1753"/>
        <w:gridCol w:w="1755"/>
      </w:tblGrid>
      <w:tr w:rsidR="00B9032E" w:rsidRPr="007F10A6" w14:paraId="70124699" w14:textId="77777777" w:rsidTr="0040718F">
        <w:trPr>
          <w:tblHeader/>
        </w:trPr>
        <w:tc>
          <w:tcPr>
            <w:tcW w:w="833" w:type="pct"/>
            <w:tcBorders>
              <w:top w:val="nil"/>
              <w:left w:val="nil"/>
            </w:tcBorders>
            <w:shd w:val="clear" w:color="auto" w:fill="B6B49C"/>
            <w:vAlign w:val="center"/>
          </w:tcPr>
          <w:p w14:paraId="42F11344" w14:textId="77777777" w:rsidR="00B9032E" w:rsidRPr="00B03E1A" w:rsidRDefault="00B9032E" w:rsidP="00766552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B03E1A">
              <w:rPr>
                <w:rFonts w:ascii="Arial" w:hAnsi="Arial" w:cs="Arial"/>
                <w:b/>
                <w:sz w:val="20"/>
                <w:szCs w:val="20"/>
              </w:rPr>
              <w:t>ategories</w:t>
            </w:r>
          </w:p>
        </w:tc>
        <w:tc>
          <w:tcPr>
            <w:tcW w:w="833" w:type="pct"/>
            <w:tcBorders>
              <w:top w:val="nil"/>
            </w:tcBorders>
            <w:shd w:val="clear" w:color="auto" w:fill="D6E3BC" w:themeFill="accent3" w:themeFillTint="66"/>
            <w:vAlign w:val="center"/>
          </w:tcPr>
          <w:p w14:paraId="357CF404" w14:textId="77777777" w:rsidR="00B9032E" w:rsidRPr="00B03E1A" w:rsidRDefault="00B9032E" w:rsidP="00766552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E1A">
              <w:rPr>
                <w:rFonts w:ascii="Arial" w:hAnsi="Arial" w:cs="Arial"/>
                <w:b/>
                <w:sz w:val="20"/>
                <w:szCs w:val="20"/>
              </w:rPr>
              <w:t>Insignificant</w:t>
            </w:r>
          </w:p>
        </w:tc>
        <w:tc>
          <w:tcPr>
            <w:tcW w:w="833" w:type="pct"/>
            <w:tcBorders>
              <w:top w:val="nil"/>
            </w:tcBorders>
            <w:shd w:val="clear" w:color="auto" w:fill="009640"/>
            <w:vAlign w:val="center"/>
          </w:tcPr>
          <w:p w14:paraId="15AA0EE7" w14:textId="77777777" w:rsidR="00B9032E" w:rsidRPr="00B03E1A" w:rsidRDefault="00B9032E" w:rsidP="00766552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E1A">
              <w:rPr>
                <w:rFonts w:ascii="Arial" w:hAnsi="Arial" w:cs="Arial"/>
                <w:b/>
                <w:sz w:val="20"/>
                <w:szCs w:val="20"/>
              </w:rPr>
              <w:t>Minor</w:t>
            </w:r>
          </w:p>
        </w:tc>
        <w:tc>
          <w:tcPr>
            <w:tcW w:w="833" w:type="pct"/>
            <w:tcBorders>
              <w:top w:val="nil"/>
            </w:tcBorders>
            <w:shd w:val="clear" w:color="auto" w:fill="FFFF00"/>
            <w:vAlign w:val="center"/>
          </w:tcPr>
          <w:p w14:paraId="380A7867" w14:textId="77777777" w:rsidR="00B9032E" w:rsidRPr="00B03E1A" w:rsidRDefault="00B9032E" w:rsidP="00766552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E1A">
              <w:rPr>
                <w:rFonts w:ascii="Arial" w:hAnsi="Arial" w:cs="Arial"/>
                <w:b/>
                <w:sz w:val="20"/>
                <w:szCs w:val="20"/>
              </w:rPr>
              <w:t>Moderate</w:t>
            </w:r>
          </w:p>
        </w:tc>
        <w:tc>
          <w:tcPr>
            <w:tcW w:w="833" w:type="pct"/>
            <w:tcBorders>
              <w:top w:val="nil"/>
            </w:tcBorders>
            <w:shd w:val="clear" w:color="auto" w:fill="F39200"/>
            <w:vAlign w:val="center"/>
          </w:tcPr>
          <w:p w14:paraId="04B9E203" w14:textId="77777777" w:rsidR="00B9032E" w:rsidRPr="00B03E1A" w:rsidRDefault="00B9032E" w:rsidP="00766552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E1A">
              <w:rPr>
                <w:rFonts w:ascii="Arial" w:hAnsi="Arial" w:cs="Arial"/>
                <w:b/>
                <w:sz w:val="20"/>
                <w:szCs w:val="20"/>
              </w:rPr>
              <w:t>Major</w:t>
            </w:r>
          </w:p>
        </w:tc>
        <w:tc>
          <w:tcPr>
            <w:tcW w:w="834" w:type="pct"/>
            <w:tcBorders>
              <w:top w:val="nil"/>
              <w:right w:val="nil"/>
            </w:tcBorders>
            <w:shd w:val="clear" w:color="auto" w:fill="E30613"/>
            <w:vAlign w:val="center"/>
          </w:tcPr>
          <w:p w14:paraId="6A20315A" w14:textId="77777777" w:rsidR="00B9032E" w:rsidRPr="00B03E1A" w:rsidRDefault="00B9032E" w:rsidP="00766552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E1A">
              <w:rPr>
                <w:rFonts w:ascii="Arial" w:hAnsi="Arial" w:cs="Arial"/>
                <w:b/>
                <w:sz w:val="20"/>
                <w:szCs w:val="20"/>
              </w:rPr>
              <w:t>Critical</w:t>
            </w:r>
          </w:p>
        </w:tc>
      </w:tr>
      <w:tr w:rsidR="00BF5EA7" w:rsidRPr="00BF5EA7" w14:paraId="16884899" w14:textId="77777777" w:rsidTr="0040718F">
        <w:trPr>
          <w:trHeight w:val="900"/>
        </w:trPr>
        <w:tc>
          <w:tcPr>
            <w:tcW w:w="833" w:type="pct"/>
            <w:tcBorders>
              <w:left w:val="nil"/>
            </w:tcBorders>
            <w:shd w:val="clear" w:color="auto" w:fill="auto"/>
          </w:tcPr>
          <w:p w14:paraId="082B53EC" w14:textId="77777777" w:rsidR="00B9032E" w:rsidRPr="00BF5EA7" w:rsidRDefault="00B9032E" w:rsidP="00766552">
            <w:pPr>
              <w:snapToGri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F5EA7">
              <w:rPr>
                <w:rFonts w:ascii="Arial" w:hAnsi="Arial" w:cs="Arial"/>
                <w:b/>
                <w:sz w:val="20"/>
                <w:szCs w:val="20"/>
              </w:rPr>
              <w:t>Child/Student Safety</w:t>
            </w:r>
          </w:p>
        </w:tc>
        <w:tc>
          <w:tcPr>
            <w:tcW w:w="833" w:type="pct"/>
            <w:shd w:val="clear" w:color="auto" w:fill="auto"/>
          </w:tcPr>
          <w:p w14:paraId="013F2D6D" w14:textId="77777777" w:rsidR="00B9032E" w:rsidRDefault="00B9032E" w:rsidP="00766552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5EA7">
              <w:rPr>
                <w:rFonts w:ascii="Arial" w:hAnsi="Arial" w:cs="Arial"/>
                <w:sz w:val="20"/>
                <w:szCs w:val="20"/>
              </w:rPr>
              <w:t>Insignificant impact on the physical, psychological or emotional wellbeing of a child/student</w:t>
            </w:r>
          </w:p>
          <w:p w14:paraId="6FBE53E9" w14:textId="77777777" w:rsidR="00FC4D5C" w:rsidRPr="00BF5EA7" w:rsidRDefault="00FC4D5C" w:rsidP="00766552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14:paraId="73A5FD04" w14:textId="77777777" w:rsidR="00B9032E" w:rsidRPr="00BF5EA7" w:rsidRDefault="00B9032E" w:rsidP="00766552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5EA7">
              <w:rPr>
                <w:rFonts w:ascii="Arial" w:hAnsi="Arial" w:cs="Arial"/>
                <w:sz w:val="20"/>
                <w:szCs w:val="20"/>
              </w:rPr>
              <w:t>Minor impact on the physical, psychological or emotional wellbeing of a child/student</w:t>
            </w:r>
          </w:p>
        </w:tc>
        <w:tc>
          <w:tcPr>
            <w:tcW w:w="833" w:type="pct"/>
            <w:shd w:val="clear" w:color="auto" w:fill="auto"/>
          </w:tcPr>
          <w:p w14:paraId="41E87312" w14:textId="77777777" w:rsidR="00B9032E" w:rsidRPr="00BF5EA7" w:rsidRDefault="00B9032E" w:rsidP="00766552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5EA7">
              <w:rPr>
                <w:rFonts w:ascii="Arial" w:hAnsi="Arial" w:cs="Arial"/>
                <w:sz w:val="20"/>
                <w:szCs w:val="20"/>
              </w:rPr>
              <w:t>Moderate impact on the physical, psychological or emotional wellbeing of a child/student</w:t>
            </w:r>
          </w:p>
        </w:tc>
        <w:tc>
          <w:tcPr>
            <w:tcW w:w="833" w:type="pct"/>
            <w:shd w:val="clear" w:color="auto" w:fill="auto"/>
          </w:tcPr>
          <w:p w14:paraId="0D9353AE" w14:textId="77777777" w:rsidR="00B9032E" w:rsidRPr="00BF5EA7" w:rsidRDefault="00B9032E" w:rsidP="00BF5EA7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5EA7">
              <w:rPr>
                <w:rFonts w:ascii="Arial" w:hAnsi="Arial" w:cs="Arial"/>
                <w:sz w:val="20"/>
                <w:szCs w:val="20"/>
              </w:rPr>
              <w:t xml:space="preserve">Major </w:t>
            </w:r>
            <w:r w:rsidR="00BF5EA7" w:rsidRPr="00BF5EA7">
              <w:rPr>
                <w:rFonts w:ascii="Arial" w:hAnsi="Arial" w:cs="Arial"/>
                <w:sz w:val="20"/>
                <w:szCs w:val="20"/>
              </w:rPr>
              <w:t>impact</w:t>
            </w:r>
            <w:r w:rsidRPr="00BF5EA7">
              <w:rPr>
                <w:rFonts w:ascii="Arial" w:hAnsi="Arial" w:cs="Arial"/>
                <w:sz w:val="20"/>
                <w:szCs w:val="20"/>
              </w:rPr>
              <w:t xml:space="preserve"> on the </w:t>
            </w:r>
            <w:r w:rsidR="00BF5EA7" w:rsidRPr="00BF5EA7">
              <w:rPr>
                <w:rFonts w:ascii="Arial" w:hAnsi="Arial" w:cs="Arial"/>
                <w:sz w:val="20"/>
                <w:szCs w:val="20"/>
              </w:rPr>
              <w:t xml:space="preserve">physical, </w:t>
            </w:r>
            <w:r w:rsidRPr="00BF5EA7">
              <w:rPr>
                <w:rFonts w:ascii="Arial" w:hAnsi="Arial" w:cs="Arial"/>
                <w:sz w:val="20"/>
                <w:szCs w:val="20"/>
              </w:rPr>
              <w:t>psychological or emotional wellbeing of a child/student</w:t>
            </w:r>
          </w:p>
        </w:tc>
        <w:tc>
          <w:tcPr>
            <w:tcW w:w="834" w:type="pct"/>
            <w:tcBorders>
              <w:right w:val="nil"/>
            </w:tcBorders>
            <w:shd w:val="clear" w:color="auto" w:fill="auto"/>
          </w:tcPr>
          <w:p w14:paraId="67FE0164" w14:textId="77777777" w:rsidR="00B9032E" w:rsidRPr="00BF5EA7" w:rsidRDefault="00B9032E" w:rsidP="00766552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5EA7">
              <w:rPr>
                <w:rFonts w:ascii="Arial" w:hAnsi="Arial" w:cs="Arial"/>
                <w:sz w:val="20"/>
                <w:szCs w:val="20"/>
              </w:rPr>
              <w:t>Loss of life, permanent physical</w:t>
            </w:r>
            <w:r w:rsidR="00BF5EA7" w:rsidRPr="00BF5EA7">
              <w:rPr>
                <w:rFonts w:ascii="Arial" w:hAnsi="Arial" w:cs="Arial"/>
                <w:sz w:val="20"/>
                <w:szCs w:val="20"/>
              </w:rPr>
              <w:t>, psychological, or emotional</w:t>
            </w:r>
            <w:r w:rsidRPr="00BF5EA7">
              <w:rPr>
                <w:rFonts w:ascii="Arial" w:hAnsi="Arial" w:cs="Arial"/>
                <w:sz w:val="20"/>
                <w:szCs w:val="20"/>
              </w:rPr>
              <w:t xml:space="preserve"> injury or multiple serious injuries</w:t>
            </w:r>
          </w:p>
        </w:tc>
      </w:tr>
      <w:tr w:rsidR="00B9032E" w:rsidRPr="007F10A6" w14:paraId="3B9AF4A6" w14:textId="77777777" w:rsidTr="00546FCD">
        <w:trPr>
          <w:cantSplit/>
          <w:trHeight w:val="1116"/>
        </w:trPr>
        <w:tc>
          <w:tcPr>
            <w:tcW w:w="833" w:type="pct"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0555E54F" w14:textId="77777777" w:rsidR="00B9032E" w:rsidRPr="00B03E1A" w:rsidRDefault="00B9032E" w:rsidP="00766552">
            <w:pPr>
              <w:snapToGri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10A6">
              <w:rPr>
                <w:rFonts w:ascii="Arial" w:hAnsi="Arial" w:cs="Arial"/>
                <w:b/>
                <w:sz w:val="20"/>
                <w:szCs w:val="20"/>
              </w:rPr>
              <w:t xml:space="preserve">Workplace </w:t>
            </w:r>
            <w:r w:rsidRPr="00B03E1A">
              <w:rPr>
                <w:rFonts w:ascii="Arial" w:hAnsi="Arial" w:cs="Arial"/>
                <w:b/>
                <w:sz w:val="20"/>
                <w:szCs w:val="20"/>
              </w:rPr>
              <w:t xml:space="preserve">Health and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B03E1A">
              <w:rPr>
                <w:rFonts w:ascii="Arial" w:hAnsi="Arial" w:cs="Arial"/>
                <w:b/>
                <w:sz w:val="20"/>
                <w:szCs w:val="20"/>
              </w:rPr>
              <w:t>afety</w:t>
            </w:r>
          </w:p>
        </w:tc>
        <w:tc>
          <w:tcPr>
            <w:tcW w:w="833" w:type="pct"/>
            <w:tcBorders>
              <w:bottom w:val="dotted" w:sz="4" w:space="0" w:color="auto"/>
            </w:tcBorders>
            <w:shd w:val="clear" w:color="auto" w:fill="auto"/>
          </w:tcPr>
          <w:p w14:paraId="4B4AC55D" w14:textId="77777777" w:rsidR="00B9032E" w:rsidRPr="00B03E1A" w:rsidRDefault="00B9032E" w:rsidP="00766552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3E1A">
              <w:rPr>
                <w:rFonts w:ascii="Arial" w:hAnsi="Arial" w:cs="Arial"/>
                <w:sz w:val="20"/>
                <w:szCs w:val="20"/>
              </w:rPr>
              <w:t>No medical treatment required</w:t>
            </w:r>
          </w:p>
        </w:tc>
        <w:tc>
          <w:tcPr>
            <w:tcW w:w="833" w:type="pct"/>
            <w:tcBorders>
              <w:bottom w:val="dotted" w:sz="4" w:space="0" w:color="auto"/>
            </w:tcBorders>
            <w:shd w:val="clear" w:color="auto" w:fill="auto"/>
          </w:tcPr>
          <w:p w14:paraId="0E826D6F" w14:textId="77777777" w:rsidR="00B9032E" w:rsidRPr="00B03E1A" w:rsidRDefault="00B9032E" w:rsidP="00766552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3E1A">
              <w:rPr>
                <w:rFonts w:ascii="Arial" w:hAnsi="Arial" w:cs="Arial"/>
                <w:sz w:val="20"/>
                <w:szCs w:val="20"/>
              </w:rPr>
              <w:t>Minor injury requiring first aid treatment (e.g. minor cuts, bruises, bumps)</w:t>
            </w:r>
          </w:p>
        </w:tc>
        <w:tc>
          <w:tcPr>
            <w:tcW w:w="833" w:type="pct"/>
            <w:tcBorders>
              <w:bottom w:val="dotted" w:sz="4" w:space="0" w:color="auto"/>
            </w:tcBorders>
            <w:shd w:val="clear" w:color="auto" w:fill="auto"/>
          </w:tcPr>
          <w:p w14:paraId="3CACFD56" w14:textId="77777777" w:rsidR="00B9032E" w:rsidRPr="00B03E1A" w:rsidRDefault="00B9032E" w:rsidP="00E659E9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3E1A">
              <w:rPr>
                <w:rFonts w:ascii="Arial" w:hAnsi="Arial" w:cs="Arial"/>
                <w:sz w:val="20"/>
                <w:szCs w:val="20"/>
              </w:rPr>
              <w:t>Injury requiring med</w:t>
            </w:r>
            <w:r w:rsidR="00E659E9">
              <w:rPr>
                <w:rFonts w:ascii="Arial" w:hAnsi="Arial" w:cs="Arial"/>
                <w:sz w:val="20"/>
                <w:szCs w:val="20"/>
              </w:rPr>
              <w:t>ical treatment or lost time of less than four days</w:t>
            </w:r>
          </w:p>
        </w:tc>
        <w:tc>
          <w:tcPr>
            <w:tcW w:w="833" w:type="pct"/>
            <w:tcBorders>
              <w:bottom w:val="dotted" w:sz="4" w:space="0" w:color="auto"/>
            </w:tcBorders>
            <w:shd w:val="clear" w:color="auto" w:fill="auto"/>
          </w:tcPr>
          <w:p w14:paraId="537FA70E" w14:textId="77777777" w:rsidR="00B9032E" w:rsidRDefault="00B9032E" w:rsidP="00766552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3E1A">
              <w:rPr>
                <w:rFonts w:ascii="Arial" w:hAnsi="Arial" w:cs="Arial"/>
                <w:sz w:val="20"/>
                <w:szCs w:val="20"/>
              </w:rPr>
              <w:t xml:space="preserve">Serious injury (injuries) requiring specialist medical treatment or </w:t>
            </w:r>
            <w:proofErr w:type="spellStart"/>
            <w:r w:rsidRPr="00B03E1A">
              <w:rPr>
                <w:rFonts w:ascii="Arial" w:hAnsi="Arial" w:cs="Arial"/>
                <w:sz w:val="20"/>
                <w:szCs w:val="20"/>
              </w:rPr>
              <w:t>hospitalisation</w:t>
            </w:r>
            <w:proofErr w:type="spellEnd"/>
            <w:r w:rsidRPr="00B03E1A">
              <w:rPr>
                <w:rFonts w:ascii="Arial" w:hAnsi="Arial" w:cs="Arial"/>
                <w:sz w:val="20"/>
                <w:szCs w:val="20"/>
              </w:rPr>
              <w:t xml:space="preserve"> or lost time of greater than four days</w:t>
            </w:r>
          </w:p>
          <w:p w14:paraId="6338A39E" w14:textId="77777777" w:rsidR="00FC4D5C" w:rsidRPr="00B03E1A" w:rsidRDefault="00FC4D5C" w:rsidP="00766552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tcBorders>
              <w:bottom w:val="dotted" w:sz="4" w:space="0" w:color="auto"/>
              <w:right w:val="nil"/>
            </w:tcBorders>
            <w:shd w:val="clear" w:color="auto" w:fill="auto"/>
          </w:tcPr>
          <w:p w14:paraId="0EE9D4F2" w14:textId="77777777" w:rsidR="00B9032E" w:rsidRPr="00B03E1A" w:rsidRDefault="00B9032E" w:rsidP="00766552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3E1A">
              <w:rPr>
                <w:rFonts w:ascii="Arial" w:hAnsi="Arial" w:cs="Arial"/>
                <w:sz w:val="20"/>
                <w:szCs w:val="20"/>
              </w:rPr>
              <w:t>Loss of life, permanent disability or injury or multiple serious injuries</w:t>
            </w:r>
          </w:p>
        </w:tc>
      </w:tr>
      <w:tr w:rsidR="00BF5EA7" w:rsidRPr="007F10A6" w14:paraId="044D8692" w14:textId="77777777" w:rsidTr="00546FCD">
        <w:trPr>
          <w:trHeight w:val="374"/>
        </w:trPr>
        <w:tc>
          <w:tcPr>
            <w:tcW w:w="833" w:type="pct"/>
            <w:tcBorders>
              <w:left w:val="nil"/>
              <w:bottom w:val="nil"/>
            </w:tcBorders>
            <w:shd w:val="clear" w:color="auto" w:fill="auto"/>
          </w:tcPr>
          <w:p w14:paraId="42A848A4" w14:textId="77777777" w:rsidR="00BF5EA7" w:rsidRPr="00B03E1A" w:rsidRDefault="00BF5EA7" w:rsidP="002273F3">
            <w:pPr>
              <w:snapToGri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10A6">
              <w:rPr>
                <w:rFonts w:ascii="Arial" w:hAnsi="Arial" w:cs="Arial"/>
                <w:b/>
                <w:sz w:val="20"/>
                <w:szCs w:val="20"/>
              </w:rPr>
              <w:t>Legislative Compliance</w:t>
            </w:r>
          </w:p>
        </w:tc>
        <w:tc>
          <w:tcPr>
            <w:tcW w:w="833" w:type="pct"/>
            <w:tcBorders>
              <w:bottom w:val="nil"/>
            </w:tcBorders>
            <w:shd w:val="clear" w:color="auto" w:fill="auto"/>
          </w:tcPr>
          <w:p w14:paraId="4CF7883B" w14:textId="42F7AEF8" w:rsidR="00BF5EA7" w:rsidRPr="00B03E1A" w:rsidRDefault="00BF5EA7" w:rsidP="00F4739E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3E1A">
              <w:rPr>
                <w:rFonts w:ascii="Arial" w:hAnsi="Arial" w:cs="Arial"/>
                <w:sz w:val="20"/>
                <w:szCs w:val="20"/>
              </w:rPr>
              <w:t xml:space="preserve">Breaches of a technical nature that do not expose </w:t>
            </w:r>
            <w:r w:rsidR="00F4739E">
              <w:rPr>
                <w:rFonts w:ascii="Arial" w:hAnsi="Arial" w:cs="Arial"/>
                <w:sz w:val="20"/>
                <w:szCs w:val="20"/>
              </w:rPr>
              <w:t>the department</w:t>
            </w:r>
            <w:r w:rsidRPr="00B03E1A">
              <w:rPr>
                <w:rFonts w:ascii="Arial" w:hAnsi="Arial" w:cs="Arial"/>
                <w:sz w:val="20"/>
                <w:szCs w:val="20"/>
              </w:rPr>
              <w:t xml:space="preserve"> to legal action and can be managed through routine activities</w:t>
            </w:r>
          </w:p>
        </w:tc>
        <w:tc>
          <w:tcPr>
            <w:tcW w:w="833" w:type="pct"/>
            <w:tcBorders>
              <w:bottom w:val="nil"/>
            </w:tcBorders>
            <w:shd w:val="clear" w:color="auto" w:fill="auto"/>
          </w:tcPr>
          <w:p w14:paraId="4F32124E" w14:textId="77777777" w:rsidR="003F5E0B" w:rsidRDefault="00BF5EA7" w:rsidP="002273F3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3E1A">
              <w:rPr>
                <w:rFonts w:ascii="Arial" w:hAnsi="Arial" w:cs="Arial"/>
                <w:sz w:val="20"/>
                <w:szCs w:val="20"/>
              </w:rPr>
              <w:t>Breach resulting in exposure to civil action but fairly unlikely</w:t>
            </w:r>
          </w:p>
          <w:p w14:paraId="4EF51021" w14:textId="77777777" w:rsidR="003F5E0B" w:rsidRPr="00B4417D" w:rsidRDefault="003F5E0B" w:rsidP="00B441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789B01" w14:textId="77777777" w:rsidR="003F5E0B" w:rsidRPr="00B4417D" w:rsidRDefault="003F5E0B" w:rsidP="00B441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DF471C" w14:textId="77777777" w:rsidR="003F5E0B" w:rsidRPr="00B4417D" w:rsidRDefault="003F5E0B" w:rsidP="00B441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B7DD87" w14:textId="77777777" w:rsidR="003F5E0B" w:rsidRPr="00B4417D" w:rsidRDefault="003F5E0B" w:rsidP="00B441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A74AA" w14:textId="77777777" w:rsidR="003F5E0B" w:rsidRPr="00B4417D" w:rsidRDefault="003F5E0B" w:rsidP="00B441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1A5175" w14:textId="77777777" w:rsidR="003F5E0B" w:rsidRPr="00B4417D" w:rsidRDefault="003F5E0B" w:rsidP="00B441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B3DC15" w14:textId="77777777" w:rsidR="003F5E0B" w:rsidRPr="00B4417D" w:rsidRDefault="003F5E0B" w:rsidP="00B441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0EDEA7" w14:textId="77777777" w:rsidR="003F5E0B" w:rsidRPr="00B4417D" w:rsidRDefault="003F5E0B" w:rsidP="00B441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80A261" w14:textId="77777777" w:rsidR="003F5E0B" w:rsidRPr="00B4417D" w:rsidRDefault="003F5E0B" w:rsidP="00B441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E24ADD" w14:textId="77777777" w:rsidR="003F5E0B" w:rsidRPr="00B4417D" w:rsidRDefault="003F5E0B" w:rsidP="00B441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5EE224" w14:textId="77777777" w:rsidR="003F5E0B" w:rsidRPr="00B4417D" w:rsidRDefault="003F5E0B" w:rsidP="00B441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166176" w14:textId="77777777" w:rsidR="003F5E0B" w:rsidRDefault="003F5E0B" w:rsidP="003F5E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A5B24E" w14:textId="77777777" w:rsidR="003F5E0B" w:rsidRPr="00B4417D" w:rsidRDefault="003F5E0B" w:rsidP="00B441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B603EC" w14:textId="77777777" w:rsidR="003F5E0B" w:rsidRPr="00B4417D" w:rsidRDefault="003F5E0B" w:rsidP="00B441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C1474E" w14:textId="77777777" w:rsidR="003F5E0B" w:rsidRPr="00B4417D" w:rsidRDefault="003F5E0B" w:rsidP="00B441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D95B9E" w14:textId="77777777" w:rsidR="003F5E0B" w:rsidRPr="00B4417D" w:rsidRDefault="003F5E0B" w:rsidP="00B441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9CA5E7" w14:textId="77777777" w:rsidR="003F5E0B" w:rsidRPr="00B4417D" w:rsidRDefault="003F5E0B" w:rsidP="00B441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9538CD" w14:textId="77777777" w:rsidR="003F5E0B" w:rsidRDefault="003F5E0B" w:rsidP="003F5E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B0FEEB" w14:textId="77777777" w:rsidR="003F5E0B" w:rsidRPr="00B4417D" w:rsidRDefault="003F5E0B" w:rsidP="00B441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30642D" w14:textId="77777777" w:rsidR="003F5E0B" w:rsidRPr="00B4417D" w:rsidRDefault="003F5E0B" w:rsidP="00B441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7FCDEA" w14:textId="77777777" w:rsidR="003F5E0B" w:rsidRDefault="003F5E0B" w:rsidP="003F5E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0B735C" w14:textId="77777777" w:rsidR="003F5E0B" w:rsidRPr="00B4417D" w:rsidRDefault="003F5E0B" w:rsidP="00B441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5552BC" w14:textId="77777777" w:rsidR="003F5E0B" w:rsidRDefault="003F5E0B" w:rsidP="003F5E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53C6A0" w14:textId="77777777" w:rsidR="00BF5EA7" w:rsidRPr="00B4417D" w:rsidRDefault="00BF5EA7" w:rsidP="00B44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bottom w:val="nil"/>
            </w:tcBorders>
            <w:shd w:val="clear" w:color="auto" w:fill="auto"/>
          </w:tcPr>
          <w:p w14:paraId="05F790D1" w14:textId="6740263A" w:rsidR="00F52A63" w:rsidRDefault="00BF5EA7" w:rsidP="002273F3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3E1A">
              <w:rPr>
                <w:rFonts w:ascii="Arial" w:hAnsi="Arial" w:cs="Arial"/>
                <w:sz w:val="20"/>
                <w:szCs w:val="20"/>
              </w:rPr>
              <w:t>Breach resulting in threats of: legal action (civil and criminal)</w:t>
            </w:r>
            <w:r w:rsidR="00E86A31">
              <w:rPr>
                <w:rFonts w:ascii="Arial" w:hAnsi="Arial" w:cs="Arial"/>
                <w:sz w:val="20"/>
                <w:szCs w:val="20"/>
              </w:rPr>
              <w:t>;</w:t>
            </w:r>
            <w:r w:rsidRPr="00B03E1A">
              <w:rPr>
                <w:rFonts w:ascii="Arial" w:hAnsi="Arial" w:cs="Arial"/>
                <w:sz w:val="20"/>
                <w:szCs w:val="20"/>
              </w:rPr>
              <w:t xml:space="preserve"> investigation by an administrative body</w:t>
            </w:r>
            <w:r w:rsidR="00E86A31">
              <w:rPr>
                <w:rFonts w:ascii="Arial" w:hAnsi="Arial" w:cs="Arial"/>
                <w:sz w:val="20"/>
                <w:szCs w:val="20"/>
              </w:rPr>
              <w:t>;</w:t>
            </w:r>
            <w:r w:rsidRPr="00B03E1A">
              <w:rPr>
                <w:rFonts w:ascii="Arial" w:hAnsi="Arial" w:cs="Arial"/>
                <w:sz w:val="20"/>
                <w:szCs w:val="20"/>
              </w:rPr>
              <w:t xml:space="preserve"> registrations, licenses or permits being revoked</w:t>
            </w:r>
            <w:r w:rsidR="00E86A31">
              <w:rPr>
                <w:rFonts w:ascii="Arial" w:hAnsi="Arial" w:cs="Arial"/>
                <w:sz w:val="20"/>
                <w:szCs w:val="20"/>
              </w:rPr>
              <w:t>, or</w:t>
            </w:r>
            <w:r w:rsidRPr="00B03E1A">
              <w:rPr>
                <w:rFonts w:ascii="Arial" w:hAnsi="Arial" w:cs="Arial"/>
                <w:sz w:val="20"/>
                <w:szCs w:val="20"/>
              </w:rPr>
              <w:t xml:space="preserve"> adverse comments made in </w:t>
            </w:r>
            <w:r w:rsidR="00E86A31">
              <w:rPr>
                <w:rFonts w:ascii="Arial" w:hAnsi="Arial" w:cs="Arial"/>
                <w:sz w:val="20"/>
                <w:szCs w:val="20"/>
              </w:rPr>
              <w:t>audits</w:t>
            </w:r>
            <w:r w:rsidRPr="00B03E1A">
              <w:rPr>
                <w:rFonts w:ascii="Arial" w:hAnsi="Arial" w:cs="Arial"/>
                <w:sz w:val="20"/>
                <w:szCs w:val="20"/>
              </w:rPr>
              <w:t xml:space="preserve"> or ministerial inquiries</w:t>
            </w:r>
          </w:p>
          <w:p w14:paraId="41123108" w14:textId="77777777" w:rsidR="00F52A63" w:rsidRPr="00F52A63" w:rsidRDefault="00F52A63" w:rsidP="00F52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E358AF" w14:textId="77777777" w:rsidR="00F52A63" w:rsidRPr="00F52A63" w:rsidRDefault="00F52A63" w:rsidP="00F52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7F56E1" w14:textId="77777777" w:rsidR="00F52A63" w:rsidRPr="00F52A63" w:rsidRDefault="00F52A63" w:rsidP="00F52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35CCB5" w14:textId="77777777" w:rsidR="00F52A63" w:rsidRPr="00F52A63" w:rsidRDefault="00F52A63" w:rsidP="00F52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4A3BF7" w14:textId="77777777" w:rsidR="00F52A63" w:rsidRPr="00F52A63" w:rsidRDefault="00F52A63" w:rsidP="00F52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077010" w14:textId="4228DE15" w:rsidR="00F52A63" w:rsidRDefault="00F52A63" w:rsidP="00F52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A89EA2" w14:textId="77777777" w:rsidR="00F52A63" w:rsidRPr="00F52A63" w:rsidRDefault="00F52A63" w:rsidP="00F52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C41696" w14:textId="77777777" w:rsidR="00F52A63" w:rsidRPr="00F52A63" w:rsidRDefault="00F52A63" w:rsidP="00F52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DCA53F" w14:textId="141AABFC" w:rsidR="00F52A63" w:rsidRDefault="00F52A63" w:rsidP="00F52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72AF72" w14:textId="77777777" w:rsidR="00F52A63" w:rsidRPr="00F52A63" w:rsidRDefault="00F52A63" w:rsidP="00F52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449E57" w14:textId="6564966F" w:rsidR="00F52A63" w:rsidRDefault="00F52A63" w:rsidP="00F52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EC04A7" w14:textId="7132BC31" w:rsidR="00F52A63" w:rsidRDefault="00F52A63" w:rsidP="00F52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A8E93" w14:textId="77777777" w:rsidR="00FC4D5C" w:rsidRPr="00F52A63" w:rsidRDefault="00FC4D5C" w:rsidP="00F52A63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33" w:type="pct"/>
            <w:tcBorders>
              <w:bottom w:val="nil"/>
            </w:tcBorders>
            <w:shd w:val="clear" w:color="auto" w:fill="auto"/>
          </w:tcPr>
          <w:p w14:paraId="057B473F" w14:textId="77777777" w:rsidR="00BF5EA7" w:rsidRPr="00B03E1A" w:rsidRDefault="00BF5EA7" w:rsidP="002273F3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3E1A">
              <w:rPr>
                <w:rFonts w:ascii="Arial" w:hAnsi="Arial" w:cs="Arial"/>
                <w:sz w:val="20"/>
                <w:szCs w:val="20"/>
              </w:rPr>
              <w:t xml:space="preserve">Breach resulting in ministerial inquiry, warnings to senior management, fines or litigation greater than $500,000, registrations, </w:t>
            </w:r>
            <w:proofErr w:type="spellStart"/>
            <w:r w:rsidRPr="00B03E1A">
              <w:rPr>
                <w:rFonts w:ascii="Arial" w:hAnsi="Arial" w:cs="Arial"/>
                <w:sz w:val="20"/>
                <w:szCs w:val="20"/>
              </w:rPr>
              <w:t>licences</w:t>
            </w:r>
            <w:proofErr w:type="spellEnd"/>
            <w:r w:rsidRPr="00B03E1A">
              <w:rPr>
                <w:rFonts w:ascii="Arial" w:hAnsi="Arial" w:cs="Arial"/>
                <w:sz w:val="20"/>
                <w:szCs w:val="20"/>
              </w:rPr>
              <w:t xml:space="preserve"> or permits being revoked or closure of a few key services</w:t>
            </w:r>
          </w:p>
        </w:tc>
        <w:tc>
          <w:tcPr>
            <w:tcW w:w="834" w:type="pct"/>
            <w:tcBorders>
              <w:bottom w:val="nil"/>
              <w:right w:val="nil"/>
            </w:tcBorders>
            <w:shd w:val="clear" w:color="auto" w:fill="auto"/>
          </w:tcPr>
          <w:p w14:paraId="6568E607" w14:textId="77777777" w:rsidR="00BF5EA7" w:rsidRPr="00B03E1A" w:rsidRDefault="00BF5EA7" w:rsidP="002273F3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3E1A">
              <w:rPr>
                <w:rFonts w:ascii="Arial" w:hAnsi="Arial" w:cs="Arial"/>
                <w:sz w:val="20"/>
                <w:szCs w:val="20"/>
              </w:rPr>
              <w:t>Breach resulting in parliamentary scrutiny, prosecution, imprisonment, fines or litigation greater than $1 million or closure of multiple services</w:t>
            </w:r>
          </w:p>
        </w:tc>
      </w:tr>
      <w:tr w:rsidR="00BF5EA7" w:rsidRPr="007F10A6" w14:paraId="454834ED" w14:textId="77777777" w:rsidTr="00546FCD">
        <w:trPr>
          <w:trHeight w:val="374"/>
        </w:trPr>
        <w:tc>
          <w:tcPr>
            <w:tcW w:w="833" w:type="pct"/>
            <w:tcBorders>
              <w:top w:val="nil"/>
              <w:left w:val="nil"/>
            </w:tcBorders>
            <w:shd w:val="clear" w:color="auto" w:fill="auto"/>
          </w:tcPr>
          <w:p w14:paraId="2D303FE5" w14:textId="77777777" w:rsidR="00BF5EA7" w:rsidRPr="00B03E1A" w:rsidRDefault="00BF5EA7" w:rsidP="002273F3">
            <w:pPr>
              <w:keepNext/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3E1A">
              <w:rPr>
                <w:rFonts w:ascii="Arial" w:hAnsi="Arial" w:cs="Arial"/>
                <w:b/>
                <w:sz w:val="20"/>
                <w:szCs w:val="20"/>
              </w:rPr>
              <w:lastRenderedPageBreak/>
              <w:t>Financial</w:t>
            </w:r>
          </w:p>
        </w:tc>
        <w:tc>
          <w:tcPr>
            <w:tcW w:w="833" w:type="pct"/>
            <w:tcBorders>
              <w:top w:val="nil"/>
            </w:tcBorders>
            <w:shd w:val="clear" w:color="auto" w:fill="auto"/>
          </w:tcPr>
          <w:p w14:paraId="2F0FF827" w14:textId="77777777" w:rsidR="00BF5EA7" w:rsidRDefault="00BF5EA7" w:rsidP="002273F3">
            <w:pPr>
              <w:keepNext/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3E1A">
              <w:rPr>
                <w:rFonts w:ascii="Arial" w:hAnsi="Arial" w:cs="Arial"/>
                <w:sz w:val="20"/>
                <w:szCs w:val="20"/>
              </w:rPr>
              <w:t xml:space="preserve">&lt;$100k </w:t>
            </w:r>
          </w:p>
          <w:p w14:paraId="12AFC058" w14:textId="77777777" w:rsidR="00BF5EA7" w:rsidRPr="00B03E1A" w:rsidRDefault="00BF5EA7" w:rsidP="002273F3">
            <w:pPr>
              <w:keepNext/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3E1A">
              <w:rPr>
                <w:rFonts w:ascii="Arial" w:hAnsi="Arial" w:cs="Arial"/>
                <w:sz w:val="20"/>
                <w:szCs w:val="20"/>
              </w:rPr>
              <w:t>Temporary disruption to delivery of products, services or systems</w:t>
            </w:r>
          </w:p>
        </w:tc>
        <w:tc>
          <w:tcPr>
            <w:tcW w:w="833" w:type="pct"/>
            <w:tcBorders>
              <w:top w:val="nil"/>
            </w:tcBorders>
            <w:shd w:val="clear" w:color="auto" w:fill="auto"/>
          </w:tcPr>
          <w:p w14:paraId="7B72B114" w14:textId="77777777" w:rsidR="00BF5EA7" w:rsidRDefault="00BF5EA7" w:rsidP="002273F3">
            <w:pPr>
              <w:keepNext/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3E1A">
              <w:rPr>
                <w:rFonts w:ascii="Arial" w:hAnsi="Arial" w:cs="Arial"/>
                <w:sz w:val="20"/>
                <w:szCs w:val="20"/>
              </w:rPr>
              <w:t xml:space="preserve">$100k - $500k </w:t>
            </w:r>
          </w:p>
          <w:p w14:paraId="7A00468C" w14:textId="77777777" w:rsidR="00BF5EA7" w:rsidRPr="00B03E1A" w:rsidRDefault="00BF5EA7" w:rsidP="002273F3">
            <w:pPr>
              <w:keepNext/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3E1A">
              <w:rPr>
                <w:rFonts w:ascii="Arial" w:hAnsi="Arial" w:cs="Arial"/>
                <w:sz w:val="20"/>
                <w:szCs w:val="20"/>
              </w:rPr>
              <w:t>Minor disruption to delivery of products, services or systems</w:t>
            </w:r>
          </w:p>
        </w:tc>
        <w:tc>
          <w:tcPr>
            <w:tcW w:w="833" w:type="pct"/>
            <w:tcBorders>
              <w:top w:val="nil"/>
            </w:tcBorders>
            <w:shd w:val="clear" w:color="auto" w:fill="auto"/>
          </w:tcPr>
          <w:p w14:paraId="779F537B" w14:textId="77777777" w:rsidR="00BF5EA7" w:rsidRDefault="00BF5EA7" w:rsidP="002273F3">
            <w:pPr>
              <w:keepNext/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3E1A">
              <w:rPr>
                <w:rFonts w:ascii="Arial" w:hAnsi="Arial" w:cs="Arial"/>
                <w:sz w:val="20"/>
                <w:szCs w:val="20"/>
              </w:rPr>
              <w:t xml:space="preserve">$500k - $1m </w:t>
            </w:r>
          </w:p>
          <w:p w14:paraId="365281CE" w14:textId="77777777" w:rsidR="00BF5EA7" w:rsidRDefault="00BF5EA7" w:rsidP="002273F3">
            <w:pPr>
              <w:keepNext/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3E1A">
              <w:rPr>
                <w:rFonts w:ascii="Arial" w:hAnsi="Arial" w:cs="Arial"/>
                <w:sz w:val="20"/>
                <w:szCs w:val="20"/>
              </w:rPr>
              <w:t>Restrictions or disruption to delivery of products, services or systems</w:t>
            </w:r>
          </w:p>
          <w:p w14:paraId="164A99E0" w14:textId="77777777" w:rsidR="00FC4D5C" w:rsidRPr="00B03E1A" w:rsidRDefault="00FC4D5C" w:rsidP="002273F3">
            <w:pPr>
              <w:keepNext/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</w:tcBorders>
            <w:shd w:val="clear" w:color="auto" w:fill="auto"/>
          </w:tcPr>
          <w:p w14:paraId="46FDD847" w14:textId="77777777" w:rsidR="00BF5EA7" w:rsidRDefault="00BF5EA7" w:rsidP="002273F3">
            <w:pPr>
              <w:keepNext/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3E1A">
              <w:rPr>
                <w:rFonts w:ascii="Arial" w:hAnsi="Arial" w:cs="Arial"/>
                <w:sz w:val="20"/>
                <w:szCs w:val="20"/>
              </w:rPr>
              <w:t xml:space="preserve">$1m - $5m </w:t>
            </w:r>
          </w:p>
          <w:p w14:paraId="135EF496" w14:textId="77777777" w:rsidR="00BF5EA7" w:rsidRPr="00B03E1A" w:rsidRDefault="00BF5EA7" w:rsidP="002273F3">
            <w:pPr>
              <w:keepNext/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3E1A">
              <w:rPr>
                <w:rFonts w:ascii="Arial" w:hAnsi="Arial" w:cs="Arial"/>
                <w:sz w:val="20"/>
                <w:szCs w:val="20"/>
              </w:rPr>
              <w:t>Severe delays or restrictions to key products, services or systems</w:t>
            </w:r>
          </w:p>
        </w:tc>
        <w:tc>
          <w:tcPr>
            <w:tcW w:w="834" w:type="pct"/>
            <w:tcBorders>
              <w:top w:val="nil"/>
              <w:right w:val="nil"/>
            </w:tcBorders>
            <w:shd w:val="clear" w:color="auto" w:fill="auto"/>
          </w:tcPr>
          <w:p w14:paraId="3CD9DB56" w14:textId="77777777" w:rsidR="00BF5EA7" w:rsidRDefault="00BF5EA7" w:rsidP="002273F3">
            <w:pPr>
              <w:keepNext/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3E1A">
              <w:rPr>
                <w:rFonts w:ascii="Arial" w:hAnsi="Arial" w:cs="Arial"/>
                <w:sz w:val="20"/>
                <w:szCs w:val="20"/>
              </w:rPr>
              <w:t xml:space="preserve">&gt;$5m </w:t>
            </w:r>
          </w:p>
          <w:p w14:paraId="0CC0389A" w14:textId="77777777" w:rsidR="00BF5EA7" w:rsidRPr="00B03E1A" w:rsidRDefault="00BF5EA7" w:rsidP="002273F3">
            <w:pPr>
              <w:keepNext/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3E1A">
              <w:rPr>
                <w:rFonts w:ascii="Arial" w:hAnsi="Arial" w:cs="Arial"/>
                <w:sz w:val="20"/>
                <w:szCs w:val="20"/>
              </w:rPr>
              <w:t>Non-delivery or loss of critical products, services or systems</w:t>
            </w:r>
          </w:p>
        </w:tc>
      </w:tr>
      <w:tr w:rsidR="00BF5EA7" w:rsidRPr="007F10A6" w14:paraId="2B9B4753" w14:textId="77777777" w:rsidTr="0040718F">
        <w:trPr>
          <w:cantSplit/>
        </w:trPr>
        <w:tc>
          <w:tcPr>
            <w:tcW w:w="833" w:type="pct"/>
            <w:tcBorders>
              <w:left w:val="nil"/>
            </w:tcBorders>
            <w:shd w:val="clear" w:color="auto" w:fill="auto"/>
          </w:tcPr>
          <w:p w14:paraId="7E233EC9" w14:textId="77777777" w:rsidR="00BF5EA7" w:rsidRPr="00B03E1A" w:rsidRDefault="00BF5EA7" w:rsidP="002273F3">
            <w:pPr>
              <w:keepNext/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3E1A">
              <w:rPr>
                <w:rFonts w:ascii="Arial" w:hAnsi="Arial" w:cs="Arial"/>
                <w:b/>
                <w:sz w:val="20"/>
                <w:szCs w:val="20"/>
              </w:rPr>
              <w:t>Service delivery</w:t>
            </w:r>
          </w:p>
        </w:tc>
        <w:tc>
          <w:tcPr>
            <w:tcW w:w="833" w:type="pct"/>
            <w:shd w:val="clear" w:color="auto" w:fill="auto"/>
          </w:tcPr>
          <w:p w14:paraId="292CAB4B" w14:textId="77777777" w:rsidR="00DF1C5D" w:rsidRPr="00B03E1A" w:rsidRDefault="00BF5EA7" w:rsidP="002273F3">
            <w:pPr>
              <w:keepNext/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3E1A">
              <w:rPr>
                <w:rFonts w:ascii="Arial" w:hAnsi="Arial" w:cs="Arial"/>
                <w:sz w:val="20"/>
                <w:szCs w:val="20"/>
              </w:rPr>
              <w:t xml:space="preserve">No measurable impact on service delivery </w:t>
            </w:r>
          </w:p>
        </w:tc>
        <w:tc>
          <w:tcPr>
            <w:tcW w:w="833" w:type="pct"/>
            <w:shd w:val="clear" w:color="auto" w:fill="auto"/>
          </w:tcPr>
          <w:p w14:paraId="31B422E8" w14:textId="77777777" w:rsidR="00BF5EA7" w:rsidRPr="00B03E1A" w:rsidRDefault="00BF5EA7" w:rsidP="002273F3">
            <w:pPr>
              <w:keepNext/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3E1A">
              <w:rPr>
                <w:rFonts w:ascii="Arial" w:hAnsi="Arial" w:cs="Arial"/>
                <w:sz w:val="20"/>
                <w:szCs w:val="20"/>
              </w:rPr>
              <w:t xml:space="preserve">Short term interruption to the delivery of services </w:t>
            </w:r>
          </w:p>
        </w:tc>
        <w:tc>
          <w:tcPr>
            <w:tcW w:w="833" w:type="pct"/>
            <w:shd w:val="clear" w:color="auto" w:fill="auto"/>
          </w:tcPr>
          <w:p w14:paraId="66ABDCC5" w14:textId="77777777" w:rsidR="00BF5EA7" w:rsidRPr="00B03E1A" w:rsidRDefault="00BF5EA7" w:rsidP="002273F3">
            <w:pPr>
              <w:keepNext/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3E1A">
              <w:rPr>
                <w:rFonts w:ascii="Arial" w:hAnsi="Arial" w:cs="Arial"/>
                <w:sz w:val="20"/>
                <w:szCs w:val="20"/>
              </w:rPr>
              <w:t xml:space="preserve">Longer term interruption to the delivery services </w:t>
            </w:r>
          </w:p>
        </w:tc>
        <w:tc>
          <w:tcPr>
            <w:tcW w:w="833" w:type="pct"/>
            <w:shd w:val="clear" w:color="auto" w:fill="auto"/>
          </w:tcPr>
          <w:p w14:paraId="6A415E23" w14:textId="77777777" w:rsidR="0032459D" w:rsidRDefault="00BF5EA7" w:rsidP="002273F3">
            <w:pPr>
              <w:keepNext/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3E1A">
              <w:rPr>
                <w:rFonts w:ascii="Arial" w:hAnsi="Arial" w:cs="Arial"/>
                <w:sz w:val="20"/>
                <w:szCs w:val="20"/>
              </w:rPr>
              <w:t xml:space="preserve">Restricted ability to continue delivering services </w:t>
            </w:r>
          </w:p>
          <w:p w14:paraId="68C5461F" w14:textId="77777777" w:rsidR="00FC4D5C" w:rsidRPr="00B03E1A" w:rsidRDefault="00FC4D5C" w:rsidP="002273F3">
            <w:pPr>
              <w:keepNext/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tcBorders>
              <w:right w:val="nil"/>
            </w:tcBorders>
            <w:shd w:val="clear" w:color="auto" w:fill="auto"/>
          </w:tcPr>
          <w:p w14:paraId="731FF231" w14:textId="77777777" w:rsidR="00BF5EA7" w:rsidRPr="00B03E1A" w:rsidRDefault="00BF5EA7" w:rsidP="002273F3">
            <w:pPr>
              <w:keepNext/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3E1A">
              <w:rPr>
                <w:rFonts w:ascii="Arial" w:hAnsi="Arial" w:cs="Arial"/>
                <w:sz w:val="20"/>
                <w:szCs w:val="20"/>
              </w:rPr>
              <w:t xml:space="preserve">Inability to deliver services </w:t>
            </w:r>
          </w:p>
        </w:tc>
      </w:tr>
      <w:tr w:rsidR="00BF5EA7" w:rsidRPr="007F10A6" w14:paraId="5468BA5B" w14:textId="77777777" w:rsidTr="00546FCD">
        <w:tc>
          <w:tcPr>
            <w:tcW w:w="833" w:type="pct"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42C4FEF9" w14:textId="64E4B14A" w:rsidR="00BF5EA7" w:rsidRDefault="00BF5EA7" w:rsidP="002273F3">
            <w:pPr>
              <w:snapToGri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0C0900" w14:textId="71508556" w:rsidR="00670A5B" w:rsidRPr="00B03E1A" w:rsidRDefault="00670A5B" w:rsidP="002273F3">
            <w:pPr>
              <w:snapToGri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Confidence</w:t>
            </w:r>
          </w:p>
        </w:tc>
        <w:tc>
          <w:tcPr>
            <w:tcW w:w="833" w:type="pct"/>
            <w:tcBorders>
              <w:bottom w:val="dotted" w:sz="4" w:space="0" w:color="auto"/>
            </w:tcBorders>
            <w:shd w:val="clear" w:color="auto" w:fill="auto"/>
          </w:tcPr>
          <w:p w14:paraId="0BC23AA4" w14:textId="7E48CCE1" w:rsidR="00BF5EA7" w:rsidRPr="00B03E1A" w:rsidRDefault="00BF5EA7" w:rsidP="0021216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3E1A">
              <w:rPr>
                <w:rFonts w:ascii="Arial" w:hAnsi="Arial" w:cs="Arial"/>
                <w:sz w:val="20"/>
                <w:szCs w:val="20"/>
              </w:rPr>
              <w:t xml:space="preserve">Some attention from minor stakeholders with little to no publicity, able to be resolved by routine management processes without impact to </w:t>
            </w:r>
            <w:r w:rsidR="0021216B">
              <w:rPr>
                <w:rFonts w:ascii="Arial" w:hAnsi="Arial" w:cs="Arial"/>
                <w:sz w:val="20"/>
                <w:szCs w:val="20"/>
              </w:rPr>
              <w:t>the department’s</w:t>
            </w:r>
            <w:r w:rsidRPr="00B03E1A">
              <w:rPr>
                <w:rFonts w:ascii="Arial" w:hAnsi="Arial" w:cs="Arial"/>
                <w:sz w:val="20"/>
                <w:szCs w:val="20"/>
              </w:rPr>
              <w:t xml:space="preserve"> reputation</w:t>
            </w:r>
          </w:p>
        </w:tc>
        <w:tc>
          <w:tcPr>
            <w:tcW w:w="833" w:type="pct"/>
            <w:tcBorders>
              <w:bottom w:val="dotted" w:sz="4" w:space="0" w:color="auto"/>
            </w:tcBorders>
            <w:shd w:val="clear" w:color="auto" w:fill="auto"/>
          </w:tcPr>
          <w:p w14:paraId="35505FF3" w14:textId="407C6085" w:rsidR="00BF5EA7" w:rsidRPr="00B03E1A" w:rsidRDefault="00BF5EA7" w:rsidP="0021216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3E1A">
              <w:rPr>
                <w:rFonts w:ascii="Arial" w:hAnsi="Arial" w:cs="Arial"/>
                <w:sz w:val="20"/>
                <w:szCs w:val="20"/>
              </w:rPr>
              <w:t xml:space="preserve">Limited damage to the department’s reputation; minor negative local publicity or dissatisfaction with </w:t>
            </w:r>
            <w:r w:rsidR="0021216B">
              <w:rPr>
                <w:rFonts w:ascii="Arial" w:hAnsi="Arial" w:cs="Arial"/>
                <w:sz w:val="20"/>
                <w:szCs w:val="20"/>
              </w:rPr>
              <w:t>the department</w:t>
            </w:r>
            <w:r w:rsidRPr="00B03E1A">
              <w:rPr>
                <w:rFonts w:ascii="Arial" w:hAnsi="Arial" w:cs="Arial"/>
                <w:sz w:val="20"/>
                <w:szCs w:val="20"/>
              </w:rPr>
              <w:t xml:space="preserve"> by local stakeholder groups </w:t>
            </w:r>
          </w:p>
        </w:tc>
        <w:tc>
          <w:tcPr>
            <w:tcW w:w="833" w:type="pct"/>
            <w:tcBorders>
              <w:bottom w:val="dotted" w:sz="4" w:space="0" w:color="auto"/>
            </w:tcBorders>
            <w:shd w:val="clear" w:color="auto" w:fill="auto"/>
          </w:tcPr>
          <w:p w14:paraId="677DB3DC" w14:textId="072DA18D" w:rsidR="00BF5EA7" w:rsidRPr="00B03E1A" w:rsidRDefault="00BF5EA7" w:rsidP="00F01FA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3E1A">
              <w:rPr>
                <w:rFonts w:ascii="Arial" w:hAnsi="Arial" w:cs="Arial"/>
                <w:sz w:val="20"/>
                <w:szCs w:val="20"/>
              </w:rPr>
              <w:t xml:space="preserve">Some negative publicity or short-term damage to </w:t>
            </w:r>
            <w:r w:rsidR="003C4FB1">
              <w:rPr>
                <w:rFonts w:ascii="Arial" w:hAnsi="Arial" w:cs="Arial"/>
                <w:sz w:val="20"/>
                <w:szCs w:val="20"/>
              </w:rPr>
              <w:t>t</w:t>
            </w:r>
            <w:r w:rsidR="0021216B">
              <w:rPr>
                <w:rFonts w:ascii="Arial" w:hAnsi="Arial" w:cs="Arial"/>
                <w:sz w:val="20"/>
                <w:szCs w:val="20"/>
              </w:rPr>
              <w:t>he department</w:t>
            </w:r>
            <w:r w:rsidRPr="00B03E1A">
              <w:rPr>
                <w:rFonts w:ascii="Arial" w:hAnsi="Arial" w:cs="Arial"/>
                <w:sz w:val="20"/>
                <w:szCs w:val="20"/>
              </w:rPr>
              <w:t>’s reputation at a state-wide level resulting in internal inquiry, potential for serious questions in parliament or disruption to some core services or l</w:t>
            </w:r>
            <w:r>
              <w:rPr>
                <w:rFonts w:ascii="Arial" w:hAnsi="Arial" w:cs="Arial"/>
                <w:sz w:val="20"/>
                <w:szCs w:val="20"/>
              </w:rPr>
              <w:t xml:space="preserve">oss of public confidence in </w:t>
            </w:r>
            <w:r w:rsidR="0021216B">
              <w:rPr>
                <w:rFonts w:ascii="Arial" w:hAnsi="Arial" w:cs="Arial"/>
                <w:sz w:val="20"/>
                <w:szCs w:val="20"/>
              </w:rPr>
              <w:t>the department</w:t>
            </w:r>
          </w:p>
        </w:tc>
        <w:tc>
          <w:tcPr>
            <w:tcW w:w="833" w:type="pct"/>
            <w:tcBorders>
              <w:bottom w:val="dotted" w:sz="4" w:space="0" w:color="auto"/>
            </w:tcBorders>
            <w:shd w:val="clear" w:color="auto" w:fill="auto"/>
          </w:tcPr>
          <w:p w14:paraId="5C69DCCE" w14:textId="69A4F016" w:rsidR="00BF5EA7" w:rsidRDefault="00BF5EA7" w:rsidP="002273F3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3E1A">
              <w:rPr>
                <w:rFonts w:ascii="Arial" w:hAnsi="Arial" w:cs="Arial"/>
                <w:sz w:val="20"/>
                <w:szCs w:val="20"/>
              </w:rPr>
              <w:t xml:space="preserve">Negative publicity or damage to </w:t>
            </w:r>
            <w:r w:rsidR="0021216B">
              <w:rPr>
                <w:rFonts w:ascii="Arial" w:hAnsi="Arial" w:cs="Arial"/>
                <w:sz w:val="20"/>
                <w:szCs w:val="20"/>
              </w:rPr>
              <w:t>the department</w:t>
            </w:r>
            <w:r w:rsidRPr="00B03E1A">
              <w:rPr>
                <w:rFonts w:ascii="Arial" w:hAnsi="Arial" w:cs="Arial"/>
                <w:sz w:val="20"/>
                <w:szCs w:val="20"/>
              </w:rPr>
              <w:t xml:space="preserve">’s reputation at a national or state level resulting in ministerial inquiry, Director-General involvement, possible review of the administration of government, disruption to major services or loss of public confidence in </w:t>
            </w:r>
            <w:r w:rsidR="0021216B">
              <w:rPr>
                <w:rFonts w:ascii="Arial" w:hAnsi="Arial" w:cs="Arial"/>
                <w:sz w:val="20"/>
                <w:szCs w:val="20"/>
              </w:rPr>
              <w:t>the department</w:t>
            </w:r>
          </w:p>
          <w:p w14:paraId="6448BB87" w14:textId="77777777" w:rsidR="00FC4D5C" w:rsidRPr="00B03E1A" w:rsidRDefault="00FC4D5C" w:rsidP="002273F3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tcBorders>
              <w:bottom w:val="dotted" w:sz="4" w:space="0" w:color="auto"/>
              <w:right w:val="nil"/>
            </w:tcBorders>
            <w:shd w:val="clear" w:color="auto" w:fill="auto"/>
          </w:tcPr>
          <w:p w14:paraId="554F0B13" w14:textId="4E404EC4" w:rsidR="00BF5EA7" w:rsidRPr="00B03E1A" w:rsidRDefault="00BF5EA7" w:rsidP="00F01FA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3E1A">
              <w:rPr>
                <w:rFonts w:ascii="Arial" w:hAnsi="Arial" w:cs="Arial"/>
                <w:sz w:val="20"/>
                <w:szCs w:val="20"/>
              </w:rPr>
              <w:t xml:space="preserve">Significant and sustained negative publicity or damage to </w:t>
            </w:r>
            <w:r w:rsidR="0021216B">
              <w:rPr>
                <w:rFonts w:ascii="Arial" w:hAnsi="Arial" w:cs="Arial"/>
                <w:sz w:val="20"/>
                <w:szCs w:val="20"/>
              </w:rPr>
              <w:t>the department</w:t>
            </w:r>
            <w:r w:rsidRPr="00B03E1A">
              <w:rPr>
                <w:rFonts w:ascii="Arial" w:hAnsi="Arial" w:cs="Arial"/>
                <w:sz w:val="20"/>
                <w:szCs w:val="20"/>
              </w:rPr>
              <w:t xml:space="preserve">’s reputation at a global, national or state level; resulting in government/ ministerial censure, senior staff resignations/ removals, parliamentary inquiry or significant long-term damage to public confidence in </w:t>
            </w:r>
            <w:r w:rsidR="0021216B">
              <w:rPr>
                <w:rFonts w:ascii="Arial" w:hAnsi="Arial" w:cs="Arial"/>
                <w:sz w:val="20"/>
                <w:szCs w:val="20"/>
              </w:rPr>
              <w:t>the department</w:t>
            </w:r>
          </w:p>
        </w:tc>
      </w:tr>
      <w:tr w:rsidR="00BF5EA7" w:rsidRPr="007F10A6" w14:paraId="18A417AB" w14:textId="77777777" w:rsidTr="00546FCD">
        <w:trPr>
          <w:cantSplit/>
        </w:trPr>
        <w:tc>
          <w:tcPr>
            <w:tcW w:w="833" w:type="pct"/>
            <w:tcBorders>
              <w:left w:val="nil"/>
              <w:bottom w:val="nil"/>
            </w:tcBorders>
            <w:shd w:val="clear" w:color="auto" w:fill="auto"/>
          </w:tcPr>
          <w:p w14:paraId="50C228D2" w14:textId="77777777" w:rsidR="00BF5EA7" w:rsidRPr="00B03E1A" w:rsidRDefault="00BF5EA7" w:rsidP="002273F3">
            <w:pPr>
              <w:snapToGri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03E1A">
              <w:rPr>
                <w:rFonts w:ascii="Arial" w:hAnsi="Arial" w:cs="Arial"/>
                <w:b/>
                <w:sz w:val="20"/>
                <w:szCs w:val="20"/>
              </w:rPr>
              <w:t>Organisational</w:t>
            </w:r>
            <w:proofErr w:type="spellEnd"/>
            <w:r w:rsidRPr="00B03E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B03E1A">
              <w:rPr>
                <w:rFonts w:ascii="Arial" w:hAnsi="Arial" w:cs="Arial"/>
                <w:b/>
                <w:sz w:val="20"/>
                <w:szCs w:val="20"/>
              </w:rPr>
              <w:t>nvironment</w:t>
            </w:r>
          </w:p>
        </w:tc>
        <w:tc>
          <w:tcPr>
            <w:tcW w:w="833" w:type="pct"/>
            <w:tcBorders>
              <w:bottom w:val="nil"/>
            </w:tcBorders>
            <w:shd w:val="clear" w:color="auto" w:fill="auto"/>
          </w:tcPr>
          <w:p w14:paraId="43A4F27B" w14:textId="77777777" w:rsidR="00BF5EA7" w:rsidRPr="00B03E1A" w:rsidRDefault="00BF5EA7" w:rsidP="002273F3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3E1A">
              <w:rPr>
                <w:rFonts w:ascii="Arial" w:hAnsi="Arial" w:cs="Arial"/>
                <w:sz w:val="20"/>
                <w:szCs w:val="20"/>
              </w:rPr>
              <w:t xml:space="preserve">Lack of suitable candidates to fill key roles and/or </w:t>
            </w:r>
            <w:r w:rsidR="00E86A31">
              <w:rPr>
                <w:rFonts w:ascii="Arial" w:hAnsi="Arial" w:cs="Arial"/>
                <w:sz w:val="20"/>
                <w:szCs w:val="20"/>
              </w:rPr>
              <w:t>i</w:t>
            </w:r>
            <w:r w:rsidRPr="00B03E1A">
              <w:rPr>
                <w:rFonts w:ascii="Arial" w:hAnsi="Arial" w:cs="Arial"/>
                <w:sz w:val="20"/>
                <w:szCs w:val="20"/>
              </w:rPr>
              <w:t>solated incidents of short term decline in individual staff confidence/ morale</w:t>
            </w:r>
          </w:p>
        </w:tc>
        <w:tc>
          <w:tcPr>
            <w:tcW w:w="833" w:type="pct"/>
            <w:tcBorders>
              <w:bottom w:val="nil"/>
            </w:tcBorders>
            <w:shd w:val="clear" w:color="auto" w:fill="auto"/>
          </w:tcPr>
          <w:p w14:paraId="29F72BA2" w14:textId="77777777" w:rsidR="00BF5EA7" w:rsidRPr="00B03E1A" w:rsidRDefault="00BF5EA7" w:rsidP="002273F3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3E1A">
              <w:rPr>
                <w:rFonts w:ascii="Arial" w:hAnsi="Arial" w:cs="Arial"/>
                <w:sz w:val="20"/>
                <w:szCs w:val="20"/>
              </w:rPr>
              <w:t>Difficulty recruiting in critical or key departmental positions within a reasonable timeframe and/or some short term decline in staff confidence/ morale</w:t>
            </w:r>
          </w:p>
        </w:tc>
        <w:tc>
          <w:tcPr>
            <w:tcW w:w="833" w:type="pct"/>
            <w:tcBorders>
              <w:bottom w:val="nil"/>
            </w:tcBorders>
            <w:shd w:val="clear" w:color="auto" w:fill="auto"/>
          </w:tcPr>
          <w:p w14:paraId="0A519C41" w14:textId="77777777" w:rsidR="00BF5EA7" w:rsidRDefault="00BF5EA7" w:rsidP="002273F3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3E1A">
              <w:rPr>
                <w:rFonts w:ascii="Arial" w:hAnsi="Arial" w:cs="Arial"/>
                <w:sz w:val="20"/>
                <w:szCs w:val="20"/>
              </w:rPr>
              <w:t>Inability to attract and retain key staff in identified high demand roles or challenging locations and/or frequent decline in staff confidence/ morale</w:t>
            </w:r>
          </w:p>
          <w:p w14:paraId="77E41824" w14:textId="77777777" w:rsidR="00FC4D5C" w:rsidRPr="00B03E1A" w:rsidRDefault="00FC4D5C" w:rsidP="002273F3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bottom w:val="nil"/>
            </w:tcBorders>
            <w:shd w:val="clear" w:color="auto" w:fill="auto"/>
          </w:tcPr>
          <w:p w14:paraId="047F1591" w14:textId="77777777" w:rsidR="00BF5EA7" w:rsidRPr="00B03E1A" w:rsidRDefault="00BF5EA7" w:rsidP="002273F3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3E1A">
              <w:rPr>
                <w:rFonts w:ascii="Arial" w:hAnsi="Arial" w:cs="Arial"/>
                <w:sz w:val="20"/>
                <w:szCs w:val="20"/>
              </w:rPr>
              <w:t>Low retention rates of key staff and or long term decline in staff confidence/ morale</w:t>
            </w:r>
          </w:p>
        </w:tc>
        <w:tc>
          <w:tcPr>
            <w:tcW w:w="834" w:type="pct"/>
            <w:tcBorders>
              <w:bottom w:val="nil"/>
              <w:right w:val="nil"/>
            </w:tcBorders>
            <w:shd w:val="clear" w:color="auto" w:fill="auto"/>
          </w:tcPr>
          <w:p w14:paraId="1A6B1227" w14:textId="77777777" w:rsidR="00BF5EA7" w:rsidRPr="00B03E1A" w:rsidRDefault="00BF5EA7" w:rsidP="002273F3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3E1A">
              <w:rPr>
                <w:rFonts w:ascii="Arial" w:hAnsi="Arial" w:cs="Arial"/>
                <w:sz w:val="20"/>
                <w:szCs w:val="20"/>
              </w:rPr>
              <w:t xml:space="preserve">Sudden or unexpected loss of a number of key personnel and/or ongoing lack of staff confidence/ morale across the </w:t>
            </w:r>
            <w:proofErr w:type="spellStart"/>
            <w:r w:rsidRPr="00B03E1A">
              <w:rPr>
                <w:rFonts w:ascii="Arial" w:hAnsi="Arial" w:cs="Arial"/>
                <w:sz w:val="20"/>
                <w:szCs w:val="20"/>
              </w:rPr>
              <w:t>organisation</w:t>
            </w:r>
            <w:proofErr w:type="spellEnd"/>
          </w:p>
        </w:tc>
      </w:tr>
      <w:tr w:rsidR="00BF5EA7" w:rsidRPr="007F10A6" w14:paraId="678ABFE6" w14:textId="77777777" w:rsidTr="00546FCD">
        <w:trPr>
          <w:cantSplit/>
        </w:trPr>
        <w:tc>
          <w:tcPr>
            <w:tcW w:w="833" w:type="pct"/>
            <w:tcBorders>
              <w:top w:val="nil"/>
              <w:left w:val="nil"/>
            </w:tcBorders>
            <w:shd w:val="clear" w:color="auto" w:fill="auto"/>
          </w:tcPr>
          <w:p w14:paraId="6A2CC91F" w14:textId="77777777" w:rsidR="00BF5EA7" w:rsidRPr="00B03E1A" w:rsidRDefault="00BF5EA7" w:rsidP="002273F3">
            <w:pPr>
              <w:snapToGri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03E1A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Business 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B03E1A">
              <w:rPr>
                <w:rFonts w:ascii="Arial" w:hAnsi="Arial" w:cs="Arial"/>
                <w:b/>
                <w:sz w:val="20"/>
                <w:szCs w:val="20"/>
              </w:rPr>
              <w:t>ontinuity</w:t>
            </w:r>
          </w:p>
        </w:tc>
        <w:tc>
          <w:tcPr>
            <w:tcW w:w="833" w:type="pct"/>
            <w:tcBorders>
              <w:top w:val="nil"/>
            </w:tcBorders>
            <w:shd w:val="clear" w:color="auto" w:fill="auto"/>
          </w:tcPr>
          <w:p w14:paraId="532C8779" w14:textId="731EC810" w:rsidR="00BF5EA7" w:rsidRPr="00B03E1A" w:rsidRDefault="00BF5EA7" w:rsidP="005D31CF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3E1A">
              <w:rPr>
                <w:rFonts w:ascii="Arial" w:hAnsi="Arial" w:cs="Arial"/>
                <w:sz w:val="20"/>
                <w:szCs w:val="20"/>
              </w:rPr>
              <w:t xml:space="preserve">Minor business disruption or security threat that causes no material disruption to </w:t>
            </w:r>
            <w:r w:rsidR="0021216B">
              <w:rPr>
                <w:rFonts w:ascii="Arial" w:hAnsi="Arial" w:cs="Arial"/>
                <w:sz w:val="20"/>
                <w:szCs w:val="20"/>
              </w:rPr>
              <w:t>the department</w:t>
            </w:r>
            <w:r w:rsidR="005D31CF">
              <w:rPr>
                <w:rFonts w:ascii="Arial" w:hAnsi="Arial" w:cs="Arial"/>
                <w:sz w:val="20"/>
                <w:szCs w:val="20"/>
              </w:rPr>
              <w:t>’s</w:t>
            </w:r>
            <w:r w:rsidRPr="00B03E1A">
              <w:rPr>
                <w:rFonts w:ascii="Arial" w:hAnsi="Arial" w:cs="Arial"/>
                <w:sz w:val="20"/>
                <w:szCs w:val="20"/>
              </w:rPr>
              <w:t xml:space="preserve"> services. No impact on stakeholders. Incident</w:t>
            </w:r>
            <w:r w:rsidR="00863DAE">
              <w:rPr>
                <w:rFonts w:ascii="Arial" w:hAnsi="Arial" w:cs="Arial"/>
                <w:sz w:val="20"/>
                <w:szCs w:val="20"/>
              </w:rPr>
              <w:t xml:space="preserve"> absorbed by routine management</w:t>
            </w:r>
          </w:p>
        </w:tc>
        <w:tc>
          <w:tcPr>
            <w:tcW w:w="833" w:type="pct"/>
            <w:tcBorders>
              <w:top w:val="nil"/>
            </w:tcBorders>
            <w:shd w:val="clear" w:color="auto" w:fill="auto"/>
          </w:tcPr>
          <w:p w14:paraId="6E56054C" w14:textId="77777777" w:rsidR="00BF5EA7" w:rsidRPr="00B03E1A" w:rsidRDefault="00BF5EA7" w:rsidP="002273F3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3E1A">
              <w:rPr>
                <w:rFonts w:ascii="Arial" w:hAnsi="Arial" w:cs="Arial"/>
                <w:sz w:val="20"/>
                <w:szCs w:val="20"/>
              </w:rPr>
              <w:t>Localised</w:t>
            </w:r>
            <w:proofErr w:type="spellEnd"/>
            <w:r w:rsidRPr="00B03E1A">
              <w:rPr>
                <w:rFonts w:ascii="Arial" w:hAnsi="Arial" w:cs="Arial"/>
                <w:sz w:val="20"/>
                <w:szCs w:val="20"/>
              </w:rPr>
              <w:t xml:space="preserve"> business disruption or security incident. Minimal impact to stakeholders. Readily contained and absorbed through local unit management intervention in contingency mode</w:t>
            </w:r>
          </w:p>
        </w:tc>
        <w:tc>
          <w:tcPr>
            <w:tcW w:w="833" w:type="pct"/>
            <w:tcBorders>
              <w:top w:val="nil"/>
            </w:tcBorders>
            <w:shd w:val="clear" w:color="auto" w:fill="auto"/>
          </w:tcPr>
          <w:p w14:paraId="7516145D" w14:textId="5BFE8E0E" w:rsidR="00BF5EA7" w:rsidRPr="00B03E1A" w:rsidRDefault="00BF5EA7" w:rsidP="00F01FA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3E1A">
              <w:rPr>
                <w:rFonts w:ascii="Arial" w:hAnsi="Arial" w:cs="Arial"/>
                <w:sz w:val="20"/>
                <w:szCs w:val="20"/>
              </w:rPr>
              <w:t xml:space="preserve">Moderate business disruption or security incident resulting in disruption to some of </w:t>
            </w:r>
            <w:r w:rsidR="0021216B">
              <w:rPr>
                <w:rFonts w:ascii="Arial" w:hAnsi="Arial" w:cs="Arial"/>
                <w:sz w:val="20"/>
                <w:szCs w:val="20"/>
              </w:rPr>
              <w:t>the department</w:t>
            </w:r>
            <w:r w:rsidRPr="00B03E1A">
              <w:rPr>
                <w:rFonts w:ascii="Arial" w:hAnsi="Arial" w:cs="Arial"/>
                <w:sz w:val="20"/>
                <w:szCs w:val="20"/>
              </w:rPr>
              <w:t>’s critical services. Some inconvenience to stakeholders. Cross management intervention is required and effort in contingency mode</w:t>
            </w:r>
          </w:p>
        </w:tc>
        <w:tc>
          <w:tcPr>
            <w:tcW w:w="833" w:type="pct"/>
            <w:tcBorders>
              <w:top w:val="nil"/>
            </w:tcBorders>
            <w:shd w:val="clear" w:color="auto" w:fill="auto"/>
          </w:tcPr>
          <w:p w14:paraId="6B183961" w14:textId="169FC6DB" w:rsidR="00BF5EA7" w:rsidRDefault="00BF5EA7" w:rsidP="002273F3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3E1A">
              <w:rPr>
                <w:rFonts w:ascii="Arial" w:hAnsi="Arial" w:cs="Arial"/>
                <w:sz w:val="20"/>
                <w:szCs w:val="20"/>
              </w:rPr>
              <w:t xml:space="preserve">Significant business disruption or security incident resulting in prolonged disruption to critical services across </w:t>
            </w:r>
            <w:r w:rsidR="0021216B">
              <w:rPr>
                <w:rFonts w:ascii="Arial" w:hAnsi="Arial" w:cs="Arial"/>
                <w:sz w:val="20"/>
                <w:szCs w:val="20"/>
              </w:rPr>
              <w:t>the department</w:t>
            </w:r>
            <w:r w:rsidRPr="00B03E1A">
              <w:rPr>
                <w:rFonts w:ascii="Arial" w:hAnsi="Arial" w:cs="Arial"/>
                <w:sz w:val="20"/>
                <w:szCs w:val="20"/>
              </w:rPr>
              <w:t>. Considerable impacts to stakeholders. Substantial senior executive intervention is required and effort in contingency mode</w:t>
            </w:r>
          </w:p>
          <w:p w14:paraId="1B5E3959" w14:textId="77777777" w:rsidR="00FC4D5C" w:rsidRPr="00B03E1A" w:rsidRDefault="00FC4D5C" w:rsidP="002273F3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nil"/>
              <w:right w:val="nil"/>
            </w:tcBorders>
            <w:shd w:val="clear" w:color="auto" w:fill="auto"/>
          </w:tcPr>
          <w:p w14:paraId="08CACF98" w14:textId="77777777" w:rsidR="00BF5EA7" w:rsidRPr="00B03E1A" w:rsidRDefault="00BF5EA7" w:rsidP="002273F3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3E1A">
              <w:rPr>
                <w:rFonts w:ascii="Arial" w:hAnsi="Arial" w:cs="Arial"/>
                <w:sz w:val="20"/>
                <w:szCs w:val="20"/>
              </w:rPr>
              <w:t>Extreme business disruption or security incident resulting in indeterminate prolonged suspension of critical services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B03E1A">
              <w:rPr>
                <w:rFonts w:ascii="Arial" w:hAnsi="Arial" w:cs="Arial"/>
                <w:sz w:val="20"/>
                <w:szCs w:val="20"/>
              </w:rPr>
              <w:t xml:space="preserve"> Debilitating impact on stakeholders. Immediate senior executive and/or min</w:t>
            </w:r>
            <w:r w:rsidR="00894423">
              <w:rPr>
                <w:rFonts w:ascii="Arial" w:hAnsi="Arial" w:cs="Arial"/>
                <w:sz w:val="20"/>
                <w:szCs w:val="20"/>
              </w:rPr>
              <w:t>isterial intervention required</w:t>
            </w:r>
          </w:p>
        </w:tc>
      </w:tr>
      <w:tr w:rsidR="00896A5A" w:rsidRPr="00896A5A" w14:paraId="0E26BC23" w14:textId="77777777" w:rsidTr="0040718F">
        <w:trPr>
          <w:cantSplit/>
        </w:trPr>
        <w:tc>
          <w:tcPr>
            <w:tcW w:w="833" w:type="pct"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50F0D7E9" w14:textId="77777777" w:rsidR="00896A5A" w:rsidRPr="00896A5A" w:rsidRDefault="00896A5A" w:rsidP="00D80948">
            <w:pPr>
              <w:snapToGri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96A5A">
              <w:rPr>
                <w:rFonts w:ascii="Arial" w:hAnsi="Arial" w:cs="Arial"/>
                <w:b/>
                <w:sz w:val="20"/>
                <w:szCs w:val="20"/>
              </w:rPr>
              <w:t>Information Security</w:t>
            </w:r>
          </w:p>
          <w:p w14:paraId="4297DB10" w14:textId="77777777" w:rsidR="00896A5A" w:rsidRPr="00896A5A" w:rsidRDefault="00896A5A" w:rsidP="00D80948">
            <w:pPr>
              <w:snapToGri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3" w:type="pct"/>
            <w:tcBorders>
              <w:bottom w:val="dotted" w:sz="4" w:space="0" w:color="auto"/>
            </w:tcBorders>
            <w:shd w:val="clear" w:color="auto" w:fill="auto"/>
          </w:tcPr>
          <w:p w14:paraId="56BBD159" w14:textId="77777777" w:rsidR="00896A5A" w:rsidRPr="00896A5A" w:rsidRDefault="00896A5A" w:rsidP="008D62E8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6A5A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Pr="00896A5A">
              <w:rPr>
                <w:rFonts w:ascii="Arial" w:hAnsi="Arial" w:cs="Arial"/>
                <w:sz w:val="20"/>
                <w:szCs w:val="20"/>
              </w:rPr>
              <w:t>localised</w:t>
            </w:r>
            <w:proofErr w:type="spellEnd"/>
            <w:r w:rsidRPr="00896A5A">
              <w:rPr>
                <w:rFonts w:ascii="Arial" w:hAnsi="Arial" w:cs="Arial"/>
                <w:sz w:val="20"/>
                <w:szCs w:val="20"/>
              </w:rPr>
              <w:t xml:space="preserve"> threat with the potential to disrupt services to a few users, </w:t>
            </w:r>
            <w:r w:rsidR="008D62E8">
              <w:rPr>
                <w:rFonts w:ascii="Arial" w:hAnsi="Arial" w:cs="Arial"/>
                <w:sz w:val="20"/>
                <w:szCs w:val="20"/>
              </w:rPr>
              <w:t>would not</w:t>
            </w:r>
            <w:r w:rsidR="008D62E8" w:rsidRPr="00896A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A5A">
              <w:rPr>
                <w:rFonts w:ascii="Arial" w:hAnsi="Arial" w:cs="Arial"/>
                <w:sz w:val="20"/>
                <w:szCs w:val="20"/>
              </w:rPr>
              <w:t>involve a breach of information privacy</w:t>
            </w:r>
          </w:p>
        </w:tc>
        <w:tc>
          <w:tcPr>
            <w:tcW w:w="833" w:type="pct"/>
            <w:tcBorders>
              <w:bottom w:val="dotted" w:sz="4" w:space="0" w:color="auto"/>
            </w:tcBorders>
            <w:shd w:val="clear" w:color="auto" w:fill="auto"/>
          </w:tcPr>
          <w:p w14:paraId="7E5B29AE" w14:textId="77777777" w:rsidR="00896A5A" w:rsidRPr="00896A5A" w:rsidRDefault="00896A5A" w:rsidP="00896A5A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Minor breaches by </w:t>
            </w:r>
            <w:r w:rsidRPr="00896A5A">
              <w:rPr>
                <w:rFonts w:ascii="Arial" w:hAnsi="Arial" w:cs="Arial"/>
                <w:sz w:val="20"/>
                <w:szCs w:val="20"/>
              </w:rPr>
              <w:t xml:space="preserve">staff </w:t>
            </w:r>
            <w:r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896A5A">
              <w:rPr>
                <w:rFonts w:ascii="Arial" w:hAnsi="Arial" w:cs="Arial"/>
                <w:sz w:val="20"/>
                <w:szCs w:val="20"/>
              </w:rPr>
              <w:t>student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96A5A">
              <w:rPr>
                <w:rFonts w:ascii="Arial" w:hAnsi="Arial" w:cs="Arial"/>
                <w:sz w:val="20"/>
                <w:szCs w:val="20"/>
              </w:rPr>
              <w:t xml:space="preserve"> resulting in a security incident managed through routine management actions</w:t>
            </w:r>
          </w:p>
        </w:tc>
        <w:tc>
          <w:tcPr>
            <w:tcW w:w="833" w:type="pct"/>
            <w:tcBorders>
              <w:bottom w:val="dotted" w:sz="4" w:space="0" w:color="auto"/>
            </w:tcBorders>
            <w:shd w:val="clear" w:color="auto" w:fill="auto"/>
          </w:tcPr>
          <w:p w14:paraId="0A5AFD10" w14:textId="77777777" w:rsidR="00896A5A" w:rsidRPr="00896A5A" w:rsidRDefault="00896A5A" w:rsidP="00D80948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6A5A">
              <w:rPr>
                <w:rFonts w:ascii="Arial" w:hAnsi="Arial" w:cs="Arial"/>
                <w:sz w:val="20"/>
                <w:szCs w:val="20"/>
              </w:rPr>
              <w:t>Moderate breaches of information privacy legislation resulting in exposure to legal action but unlikely</w:t>
            </w:r>
          </w:p>
        </w:tc>
        <w:tc>
          <w:tcPr>
            <w:tcW w:w="833" w:type="pct"/>
            <w:tcBorders>
              <w:bottom w:val="dotted" w:sz="4" w:space="0" w:color="auto"/>
            </w:tcBorders>
            <w:shd w:val="clear" w:color="auto" w:fill="auto"/>
          </w:tcPr>
          <w:p w14:paraId="5FAB043C" w14:textId="694BB20B" w:rsidR="00FC4D5C" w:rsidRPr="00896A5A" w:rsidRDefault="00896A5A" w:rsidP="00F01FA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6A5A">
              <w:rPr>
                <w:rFonts w:ascii="Arial" w:hAnsi="Arial" w:cs="Arial"/>
                <w:sz w:val="20"/>
                <w:szCs w:val="20"/>
              </w:rPr>
              <w:t xml:space="preserve">Major breach resulting in some </w:t>
            </w:r>
            <w:r w:rsidR="00894423">
              <w:rPr>
                <w:rFonts w:ascii="Arial" w:hAnsi="Arial" w:cs="Arial"/>
                <w:sz w:val="20"/>
                <w:szCs w:val="20"/>
              </w:rPr>
              <w:t xml:space="preserve">cost to </w:t>
            </w:r>
            <w:r w:rsidR="0021216B">
              <w:rPr>
                <w:rFonts w:ascii="Arial" w:hAnsi="Arial" w:cs="Arial"/>
                <w:sz w:val="20"/>
                <w:szCs w:val="20"/>
              </w:rPr>
              <w:t>the department</w:t>
            </w:r>
            <w:r w:rsidR="00894423">
              <w:rPr>
                <w:rFonts w:ascii="Arial" w:hAnsi="Arial" w:cs="Arial"/>
                <w:sz w:val="20"/>
                <w:szCs w:val="20"/>
              </w:rPr>
              <w:t xml:space="preserve"> (under $100,000),</w:t>
            </w:r>
            <w:r w:rsidRPr="00896A5A">
              <w:rPr>
                <w:rFonts w:ascii="Arial" w:hAnsi="Arial" w:cs="Arial"/>
                <w:sz w:val="20"/>
                <w:szCs w:val="20"/>
              </w:rPr>
              <w:t xml:space="preserve"> possible le</w:t>
            </w:r>
            <w:r w:rsidR="00894423">
              <w:rPr>
                <w:rFonts w:ascii="Arial" w:hAnsi="Arial" w:cs="Arial"/>
                <w:sz w:val="20"/>
                <w:szCs w:val="20"/>
              </w:rPr>
              <w:t>gal action</w:t>
            </w:r>
            <w:r w:rsidRPr="00896A5A">
              <w:rPr>
                <w:rFonts w:ascii="Arial" w:hAnsi="Arial" w:cs="Arial"/>
                <w:sz w:val="20"/>
                <w:szCs w:val="20"/>
              </w:rPr>
              <w:t xml:space="preserve"> or investigation </w:t>
            </w:r>
            <w:r w:rsidR="00894423">
              <w:rPr>
                <w:rFonts w:ascii="Arial" w:hAnsi="Arial" w:cs="Arial"/>
                <w:sz w:val="20"/>
                <w:szCs w:val="20"/>
              </w:rPr>
              <w:t>or permits</w:t>
            </w:r>
            <w:r w:rsidRPr="00896A5A">
              <w:rPr>
                <w:rFonts w:ascii="Arial" w:hAnsi="Arial" w:cs="Arial"/>
                <w:sz w:val="20"/>
                <w:szCs w:val="20"/>
              </w:rPr>
              <w:t xml:space="preserve"> revoked </w:t>
            </w:r>
            <w:r w:rsidR="00894423">
              <w:rPr>
                <w:rFonts w:ascii="Arial" w:hAnsi="Arial" w:cs="Arial"/>
                <w:sz w:val="20"/>
                <w:szCs w:val="20"/>
              </w:rPr>
              <w:t>or ministerial inquiries</w:t>
            </w:r>
          </w:p>
        </w:tc>
        <w:tc>
          <w:tcPr>
            <w:tcW w:w="834" w:type="pct"/>
            <w:tcBorders>
              <w:bottom w:val="dotted" w:sz="4" w:space="0" w:color="auto"/>
              <w:right w:val="nil"/>
            </w:tcBorders>
            <w:shd w:val="clear" w:color="auto" w:fill="auto"/>
          </w:tcPr>
          <w:p w14:paraId="3ECE5F31" w14:textId="77777777" w:rsidR="00896A5A" w:rsidRPr="00896A5A" w:rsidRDefault="00896A5A" w:rsidP="00894423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6A5A">
              <w:rPr>
                <w:rFonts w:ascii="Arial" w:hAnsi="Arial" w:cs="Arial"/>
                <w:sz w:val="20"/>
                <w:szCs w:val="20"/>
              </w:rPr>
              <w:t>Critical breach resulting in ministerial / parliamentary scrutiny, warnings, fines or l</w:t>
            </w:r>
            <w:r w:rsidR="00894423">
              <w:rPr>
                <w:rFonts w:ascii="Arial" w:hAnsi="Arial" w:cs="Arial"/>
                <w:sz w:val="20"/>
                <w:szCs w:val="20"/>
              </w:rPr>
              <w:t>itigation greater than $500,000 or</w:t>
            </w:r>
            <w:r w:rsidRPr="00896A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94423">
              <w:rPr>
                <w:rFonts w:ascii="Arial" w:hAnsi="Arial" w:cs="Arial"/>
                <w:sz w:val="20"/>
                <w:szCs w:val="20"/>
              </w:rPr>
              <w:t>licences</w:t>
            </w:r>
            <w:proofErr w:type="spellEnd"/>
            <w:r w:rsidR="00894423">
              <w:rPr>
                <w:rFonts w:ascii="Arial" w:hAnsi="Arial" w:cs="Arial"/>
                <w:sz w:val="20"/>
                <w:szCs w:val="20"/>
              </w:rPr>
              <w:t xml:space="preserve"> / permits</w:t>
            </w:r>
            <w:r w:rsidRPr="00896A5A">
              <w:rPr>
                <w:rFonts w:ascii="Arial" w:hAnsi="Arial" w:cs="Arial"/>
                <w:sz w:val="20"/>
                <w:szCs w:val="20"/>
              </w:rPr>
              <w:t xml:space="preserve"> revoked</w:t>
            </w:r>
          </w:p>
        </w:tc>
      </w:tr>
      <w:tr w:rsidR="00670A5B" w:rsidRPr="00896A5A" w14:paraId="541B47D8" w14:textId="77777777" w:rsidTr="0040718F">
        <w:trPr>
          <w:cantSplit/>
        </w:trPr>
        <w:tc>
          <w:tcPr>
            <w:tcW w:w="833" w:type="pct"/>
            <w:tcBorders>
              <w:left w:val="nil"/>
              <w:bottom w:val="nil"/>
            </w:tcBorders>
            <w:shd w:val="clear" w:color="auto" w:fill="auto"/>
          </w:tcPr>
          <w:p w14:paraId="6B896519" w14:textId="69EC2378" w:rsidR="00670A5B" w:rsidRPr="00B3719D" w:rsidRDefault="00670A5B" w:rsidP="00670A5B">
            <w:pPr>
              <w:snapToGri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3719D">
              <w:rPr>
                <w:rFonts w:ascii="Arial" w:hAnsi="Arial" w:cs="Arial"/>
                <w:b/>
                <w:sz w:val="20"/>
                <w:szCs w:val="20"/>
              </w:rPr>
              <w:t xml:space="preserve">Economic development services  </w:t>
            </w:r>
          </w:p>
        </w:tc>
        <w:tc>
          <w:tcPr>
            <w:tcW w:w="833" w:type="pct"/>
            <w:tcBorders>
              <w:bottom w:val="nil"/>
            </w:tcBorders>
            <w:shd w:val="clear" w:color="auto" w:fill="auto"/>
          </w:tcPr>
          <w:p w14:paraId="10F86679" w14:textId="1DA334F8" w:rsidR="00670A5B" w:rsidRPr="00B3719D" w:rsidRDefault="00670A5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719D">
              <w:rPr>
                <w:rFonts w:ascii="Arial" w:hAnsi="Arial" w:cs="Arial"/>
                <w:sz w:val="20"/>
                <w:szCs w:val="20"/>
              </w:rPr>
              <w:t>No measurable impact to economic development and industry stakeholders</w:t>
            </w:r>
          </w:p>
        </w:tc>
        <w:tc>
          <w:tcPr>
            <w:tcW w:w="833" w:type="pct"/>
            <w:tcBorders>
              <w:bottom w:val="nil"/>
            </w:tcBorders>
            <w:shd w:val="clear" w:color="auto" w:fill="auto"/>
          </w:tcPr>
          <w:p w14:paraId="247FE323" w14:textId="07881715" w:rsidR="00670A5B" w:rsidRPr="00B3719D" w:rsidRDefault="00670A5B" w:rsidP="00670A5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719D">
              <w:rPr>
                <w:rFonts w:ascii="Arial" w:hAnsi="Arial" w:cs="Arial"/>
                <w:sz w:val="20"/>
                <w:szCs w:val="20"/>
              </w:rPr>
              <w:t>Minor impact to economic development and industry stakeholders</w:t>
            </w:r>
          </w:p>
        </w:tc>
        <w:tc>
          <w:tcPr>
            <w:tcW w:w="833" w:type="pct"/>
            <w:tcBorders>
              <w:bottom w:val="nil"/>
            </w:tcBorders>
            <w:shd w:val="clear" w:color="auto" w:fill="auto"/>
          </w:tcPr>
          <w:p w14:paraId="59396B83" w14:textId="433EF43F" w:rsidR="00670A5B" w:rsidRPr="00B3719D" w:rsidRDefault="00670A5B" w:rsidP="00670A5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719D">
              <w:rPr>
                <w:rFonts w:ascii="Arial" w:hAnsi="Arial" w:cs="Arial"/>
                <w:sz w:val="20"/>
                <w:szCs w:val="20"/>
              </w:rPr>
              <w:t xml:space="preserve">Moderate impact to economic development and industry stakeholders </w:t>
            </w:r>
          </w:p>
        </w:tc>
        <w:tc>
          <w:tcPr>
            <w:tcW w:w="833" w:type="pct"/>
            <w:tcBorders>
              <w:bottom w:val="nil"/>
            </w:tcBorders>
            <w:shd w:val="clear" w:color="auto" w:fill="auto"/>
          </w:tcPr>
          <w:p w14:paraId="0ADE6A78" w14:textId="3F7023FE" w:rsidR="00670A5B" w:rsidRPr="00B3719D" w:rsidRDefault="00670A5B" w:rsidP="00670A5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719D">
              <w:rPr>
                <w:rFonts w:ascii="Arial" w:hAnsi="Arial" w:cs="Arial"/>
                <w:sz w:val="20"/>
                <w:szCs w:val="20"/>
              </w:rPr>
              <w:t>Major impact to economic development and industry stakeholders requiring senior executive intervention and or a ministerial inquiry</w:t>
            </w:r>
          </w:p>
        </w:tc>
        <w:tc>
          <w:tcPr>
            <w:tcW w:w="834" w:type="pct"/>
            <w:tcBorders>
              <w:bottom w:val="nil"/>
              <w:right w:val="nil"/>
            </w:tcBorders>
            <w:shd w:val="clear" w:color="auto" w:fill="auto"/>
          </w:tcPr>
          <w:p w14:paraId="11A723F6" w14:textId="15D02212" w:rsidR="00670A5B" w:rsidRPr="00B3719D" w:rsidRDefault="00670A5B" w:rsidP="00670A5B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719D">
              <w:rPr>
                <w:rFonts w:ascii="Arial" w:hAnsi="Arial" w:cs="Arial"/>
                <w:sz w:val="20"/>
                <w:szCs w:val="20"/>
              </w:rPr>
              <w:t>Significant impact to economic development and industry stakeholders, requiring immediate senior executive and ministerial intervention</w:t>
            </w:r>
          </w:p>
        </w:tc>
      </w:tr>
    </w:tbl>
    <w:p w14:paraId="7F0C3C50" w14:textId="77777777" w:rsidR="00B9032E" w:rsidRDefault="00B9032E" w:rsidP="00B9032E">
      <w:pPr>
        <w:rPr>
          <w:lang w:eastAsia="zh-CN"/>
        </w:rPr>
      </w:pPr>
    </w:p>
    <w:p w14:paraId="1372D2B5" w14:textId="02926C7B" w:rsidR="004A1DF0" w:rsidRPr="00AE7512" w:rsidRDefault="004A1DF0" w:rsidP="00B9032E">
      <w:pPr>
        <w:rPr>
          <w:rFonts w:ascii="Arial" w:hAnsi="Arial" w:cs="Arial"/>
          <w:sz w:val="20"/>
          <w:lang w:eastAsia="zh-CN"/>
        </w:rPr>
      </w:pPr>
      <w:r w:rsidRPr="00AE7512">
        <w:rPr>
          <w:rFonts w:ascii="Arial" w:eastAsia="Times" w:hAnsi="Arial" w:cs="Arial"/>
          <w:sz w:val="20"/>
          <w:lang w:eastAsia="en-AU"/>
        </w:rPr>
        <w:t xml:space="preserve">For further information refer to the </w:t>
      </w:r>
      <w:hyperlink r:id="rId10" w:history="1">
        <w:r w:rsidRPr="00AE7512">
          <w:rPr>
            <w:rStyle w:val="Hyperlink"/>
            <w:rFonts w:ascii="Arial" w:eastAsia="Times" w:hAnsi="Arial" w:cs="Arial"/>
            <w:sz w:val="20"/>
            <w:lang w:eastAsia="en-AU"/>
          </w:rPr>
          <w:t>Enterprise Risk Management Framework</w:t>
        </w:r>
      </w:hyperlink>
      <w:r w:rsidRPr="00AE7512">
        <w:rPr>
          <w:rFonts w:ascii="Arial" w:eastAsia="Times" w:hAnsi="Arial" w:cs="Arial"/>
          <w:sz w:val="20"/>
          <w:lang w:eastAsia="en-AU"/>
        </w:rPr>
        <w:t xml:space="preserve"> or </w:t>
      </w:r>
      <w:hyperlink r:id="rId11" w:history="1">
        <w:r w:rsidRPr="00AE7512">
          <w:rPr>
            <w:rStyle w:val="Hyperlink"/>
            <w:rFonts w:ascii="Arial" w:eastAsia="Times" w:hAnsi="Arial" w:cs="Arial"/>
            <w:sz w:val="20"/>
            <w:lang w:eastAsia="en-AU"/>
          </w:rPr>
          <w:t>Policy and Procedure Register</w:t>
        </w:r>
      </w:hyperlink>
      <w:r w:rsidRPr="00AE7512">
        <w:rPr>
          <w:rFonts w:ascii="Arial" w:eastAsia="Times" w:hAnsi="Arial" w:cs="Arial"/>
          <w:sz w:val="20"/>
          <w:lang w:eastAsia="en-AU"/>
        </w:rPr>
        <w:t xml:space="preserve"> or email </w:t>
      </w:r>
      <w:hyperlink r:id="rId12" w:history="1">
        <w:r w:rsidR="003F5E0B" w:rsidRPr="00AE7512">
          <w:rPr>
            <w:rStyle w:val="Hyperlink"/>
            <w:rFonts w:ascii="Arial" w:eastAsia="Times" w:hAnsi="Arial" w:cs="Arial"/>
            <w:sz w:val="20"/>
            <w:lang w:eastAsia="en-AU"/>
          </w:rPr>
          <w:t>enterprise.riskmanagement@qed.qld.gov.au</w:t>
        </w:r>
      </w:hyperlink>
    </w:p>
    <w:sectPr w:rsidR="004A1DF0" w:rsidRPr="00AE7512" w:rsidSect="009B2A86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20" w:h="16840"/>
      <w:pgMar w:top="1418" w:right="720" w:bottom="720" w:left="720" w:header="568" w:footer="64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5E189" w14:textId="77777777" w:rsidR="003F7B1F" w:rsidRDefault="003F7B1F">
      <w:pPr>
        <w:spacing w:after="0" w:line="240" w:lineRule="auto"/>
      </w:pPr>
      <w:r>
        <w:separator/>
      </w:r>
    </w:p>
  </w:endnote>
  <w:endnote w:type="continuationSeparator" w:id="0">
    <w:p w14:paraId="588C48F8" w14:textId="77777777" w:rsidR="003F7B1F" w:rsidRDefault="003F7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taNormalLF-Roma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E83B0" w14:textId="28EF71C4" w:rsidR="00781EFB" w:rsidRPr="004D507E" w:rsidRDefault="00781EFB" w:rsidP="00781EFB">
    <w:pPr>
      <w:pStyle w:val="Footer"/>
      <w:tabs>
        <w:tab w:val="clear" w:pos="9026"/>
        <w:tab w:val="right" w:pos="10490"/>
      </w:tabs>
      <w:rPr>
        <w:rFonts w:ascii="Arial" w:hAnsi="Arial" w:cs="Arial"/>
        <w:sz w:val="18"/>
        <w:szCs w:val="18"/>
      </w:rPr>
    </w:pPr>
    <w:r w:rsidRPr="004D507E">
      <w:rPr>
        <w:rFonts w:ascii="Arial" w:hAnsi="Arial" w:cs="Arial"/>
        <w:noProof/>
        <w:sz w:val="18"/>
        <w:szCs w:val="18"/>
        <w:lang w:val="en-AU" w:eastAsia="zh-CN"/>
      </w:rPr>
      <w:drawing>
        <wp:anchor distT="0" distB="0" distL="114300" distR="114300" simplePos="0" relativeHeight="251681792" behindDoc="1" locked="0" layoutInCell="1" allowOverlap="1" wp14:anchorId="22632E4D" wp14:editId="7BA3A272">
          <wp:simplePos x="0" y="0"/>
          <wp:positionH relativeFrom="column">
            <wp:posOffset>-485775</wp:posOffset>
          </wp:positionH>
          <wp:positionV relativeFrom="paragraph">
            <wp:posOffset>-210820</wp:posOffset>
          </wp:positionV>
          <wp:extent cx="7616915" cy="1120775"/>
          <wp:effectExtent l="0" t="0" r="317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6915" cy="1120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507E">
      <w:rPr>
        <w:rFonts w:ascii="Arial" w:hAnsi="Arial" w:cs="Arial"/>
        <w:b/>
        <w:sz w:val="18"/>
        <w:szCs w:val="18"/>
      </w:rPr>
      <w:t xml:space="preserve">Uncontrolled </w:t>
    </w:r>
    <w:r w:rsidR="00E42E03">
      <w:rPr>
        <w:rFonts w:ascii="Arial" w:hAnsi="Arial" w:cs="Arial"/>
        <w:b/>
        <w:sz w:val="18"/>
        <w:szCs w:val="18"/>
      </w:rPr>
      <w:t>c</w:t>
    </w:r>
    <w:r w:rsidRPr="004D507E">
      <w:rPr>
        <w:rFonts w:ascii="Arial" w:hAnsi="Arial" w:cs="Arial"/>
        <w:b/>
        <w:sz w:val="18"/>
        <w:szCs w:val="18"/>
      </w:rPr>
      <w:t>opy</w:t>
    </w:r>
    <w:r w:rsidRPr="004D507E">
      <w:rPr>
        <w:rFonts w:ascii="Arial" w:hAnsi="Arial" w:cs="Arial"/>
        <w:sz w:val="18"/>
        <w:szCs w:val="18"/>
      </w:rPr>
      <w:t>. Refer to the Department of Education Policy and Procedure Register at</w:t>
    </w:r>
  </w:p>
  <w:p w14:paraId="07BEA792" w14:textId="6E4AA20E" w:rsidR="00781EFB" w:rsidRPr="004D507E" w:rsidRDefault="00F52A63" w:rsidP="00781EFB">
    <w:pPr>
      <w:pStyle w:val="Footer"/>
      <w:tabs>
        <w:tab w:val="clear" w:pos="9026"/>
        <w:tab w:val="right" w:pos="9356"/>
      </w:tabs>
      <w:rPr>
        <w:rFonts w:ascii="Arial" w:hAnsi="Arial" w:cs="Arial"/>
        <w:sz w:val="18"/>
        <w:szCs w:val="18"/>
      </w:rPr>
    </w:pPr>
    <w:hyperlink r:id="rId2" w:history="1">
      <w:r w:rsidRPr="004B6FF9">
        <w:rPr>
          <w:rStyle w:val="Hyperlink"/>
          <w:rFonts w:ascii="Arial" w:hAnsi="Arial" w:cs="Arial"/>
          <w:sz w:val="18"/>
          <w:szCs w:val="18"/>
        </w:rPr>
        <w:t>https://ppr.qed.qld.gov.au/pp/enterprise-risk-management-procedure</w:t>
      </w:r>
    </w:hyperlink>
    <w:r>
      <w:rPr>
        <w:rFonts w:ascii="Arial" w:hAnsi="Arial" w:cs="Arial"/>
        <w:sz w:val="18"/>
        <w:szCs w:val="18"/>
      </w:rPr>
      <w:t xml:space="preserve"> </w:t>
    </w:r>
    <w:r w:rsidR="00781EFB" w:rsidRPr="004D507E">
      <w:rPr>
        <w:rFonts w:ascii="Arial" w:hAnsi="Arial" w:cs="Arial"/>
        <w:sz w:val="18"/>
        <w:szCs w:val="18"/>
      </w:rPr>
      <w:t xml:space="preserve">to ensure you have the most current version. </w:t>
    </w:r>
    <w:r w:rsidR="00616566">
      <w:rPr>
        <w:rFonts w:ascii="Arial" w:hAnsi="Arial" w:cs="Arial"/>
        <w:sz w:val="18"/>
        <w:szCs w:val="18"/>
      </w:rPr>
      <w:br/>
    </w:r>
    <w:r w:rsidR="00781EFB" w:rsidRPr="004D507E">
      <w:rPr>
        <w:rFonts w:ascii="Arial" w:hAnsi="Arial" w:cs="Arial"/>
        <w:noProof/>
        <w:sz w:val="18"/>
        <w:szCs w:val="18"/>
        <w:lang w:val="en-AU" w:eastAsia="zh-CN"/>
      </w:rPr>
      <w:drawing>
        <wp:anchor distT="0" distB="0" distL="114300" distR="114300" simplePos="0" relativeHeight="251680768" behindDoc="1" locked="0" layoutInCell="1" allowOverlap="1" wp14:anchorId="1B2D8225" wp14:editId="3BE680A3">
          <wp:simplePos x="0" y="0"/>
          <wp:positionH relativeFrom="column">
            <wp:posOffset>-10795</wp:posOffset>
          </wp:positionH>
          <wp:positionV relativeFrom="paragraph">
            <wp:posOffset>9563100</wp:posOffset>
          </wp:positionV>
          <wp:extent cx="7559040" cy="1117600"/>
          <wp:effectExtent l="0" t="0" r="3810" b="6350"/>
          <wp:wrapNone/>
          <wp:docPr id="2" name="Picture 2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1EFB" w:rsidRPr="004D507E">
      <w:rPr>
        <w:rFonts w:ascii="Arial" w:hAnsi="Arial" w:cs="Arial"/>
        <w:noProof/>
        <w:sz w:val="18"/>
        <w:szCs w:val="18"/>
        <w:lang w:val="en-AU" w:eastAsia="zh-CN"/>
      </w:rPr>
      <w:drawing>
        <wp:anchor distT="0" distB="0" distL="114300" distR="114300" simplePos="0" relativeHeight="251679744" behindDoc="1" locked="0" layoutInCell="1" allowOverlap="1" wp14:anchorId="14E1B3BA" wp14:editId="31B89720">
          <wp:simplePos x="0" y="0"/>
          <wp:positionH relativeFrom="column">
            <wp:posOffset>-10795</wp:posOffset>
          </wp:positionH>
          <wp:positionV relativeFrom="paragraph">
            <wp:posOffset>9563100</wp:posOffset>
          </wp:positionV>
          <wp:extent cx="7559040" cy="1117600"/>
          <wp:effectExtent l="0" t="0" r="3810" b="6350"/>
          <wp:wrapNone/>
          <wp:docPr id="3" name="Picture 3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1EFB" w:rsidRPr="004D507E">
      <w:rPr>
        <w:rFonts w:ascii="Arial" w:hAnsi="Arial" w:cs="Arial"/>
        <w:noProof/>
        <w:sz w:val="18"/>
        <w:szCs w:val="18"/>
        <w:lang w:val="en-AU" w:eastAsia="zh-CN"/>
      </w:rPr>
      <w:drawing>
        <wp:anchor distT="0" distB="0" distL="114300" distR="114300" simplePos="0" relativeHeight="251678720" behindDoc="1" locked="0" layoutInCell="1" allowOverlap="1" wp14:anchorId="118A7514" wp14:editId="07BA3A90">
          <wp:simplePos x="0" y="0"/>
          <wp:positionH relativeFrom="column">
            <wp:posOffset>-10795</wp:posOffset>
          </wp:positionH>
          <wp:positionV relativeFrom="paragraph">
            <wp:posOffset>9563100</wp:posOffset>
          </wp:positionV>
          <wp:extent cx="7559040" cy="1117600"/>
          <wp:effectExtent l="0" t="0" r="3810" b="6350"/>
          <wp:wrapNone/>
          <wp:docPr id="4" name="Picture 4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Arial" w:hAnsi="Arial" w:cs="Arial"/>
          <w:sz w:val="18"/>
          <w:szCs w:val="18"/>
        </w:rPr>
        <w:id w:val="-138224120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1214856126"/>
            <w:docPartObj>
              <w:docPartGallery w:val="Page Numbers (Top of Page)"/>
              <w:docPartUnique/>
            </w:docPartObj>
          </w:sdtPr>
          <w:sdtEndPr/>
          <w:sdtContent>
            <w:r w:rsidR="00781EFB" w:rsidRPr="004D507E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781EFB" w:rsidRPr="004D507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781EFB" w:rsidRPr="004D507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781EFB" w:rsidRPr="004D507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781EFB" w:rsidRPr="004D507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81EFB" w:rsidRPr="004D507E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781EFB" w:rsidRPr="004D507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781EFB" w:rsidRPr="004D507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="00781EFB" w:rsidRPr="004D507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781EFB" w:rsidRPr="004D507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382F3B19" w14:textId="77777777" w:rsidR="009539E6" w:rsidRPr="00B03E1A" w:rsidRDefault="009539E6" w:rsidP="000928AB">
    <w:pPr>
      <w:tabs>
        <w:tab w:val="right" w:pos="15309"/>
      </w:tabs>
      <w:spacing w:after="0" w:line="184" w:lineRule="exact"/>
      <w:ind w:right="-44"/>
      <w:rPr>
        <w:rFonts w:ascii="Calibri" w:eastAsia="Calibri" w:hAnsi="Calibri" w:cs="Calibr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8EEC2" w14:textId="04EC33D7" w:rsidR="00781EFB" w:rsidRPr="000928AB" w:rsidRDefault="00781EFB" w:rsidP="00781EFB">
    <w:pPr>
      <w:pStyle w:val="Footer"/>
      <w:tabs>
        <w:tab w:val="clear" w:pos="9026"/>
        <w:tab w:val="right" w:pos="10490"/>
      </w:tabs>
      <w:rPr>
        <w:rFonts w:ascii="Arial" w:hAnsi="Arial" w:cs="Arial"/>
        <w:sz w:val="18"/>
        <w:szCs w:val="18"/>
      </w:rPr>
    </w:pPr>
    <w:r w:rsidRPr="000928AB">
      <w:rPr>
        <w:rFonts w:ascii="Arial" w:hAnsi="Arial" w:cs="Arial"/>
        <w:noProof/>
        <w:sz w:val="18"/>
        <w:szCs w:val="18"/>
        <w:lang w:val="en-AU" w:eastAsia="zh-CN"/>
      </w:rPr>
      <w:drawing>
        <wp:anchor distT="0" distB="0" distL="114300" distR="114300" simplePos="0" relativeHeight="251676672" behindDoc="1" locked="0" layoutInCell="1" allowOverlap="1" wp14:anchorId="2EF730C4" wp14:editId="052B5F8A">
          <wp:simplePos x="0" y="0"/>
          <wp:positionH relativeFrom="column">
            <wp:posOffset>-488950</wp:posOffset>
          </wp:positionH>
          <wp:positionV relativeFrom="paragraph">
            <wp:posOffset>-211455</wp:posOffset>
          </wp:positionV>
          <wp:extent cx="7620000" cy="1121229"/>
          <wp:effectExtent l="0" t="0" r="0" b="3175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1212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28AB">
      <w:rPr>
        <w:rFonts w:ascii="Arial" w:hAnsi="Arial" w:cs="Arial"/>
        <w:b/>
        <w:sz w:val="18"/>
        <w:szCs w:val="18"/>
      </w:rPr>
      <w:t xml:space="preserve">Uncontrolled </w:t>
    </w:r>
    <w:r w:rsidR="00E42E03">
      <w:rPr>
        <w:rFonts w:ascii="Arial" w:hAnsi="Arial" w:cs="Arial"/>
        <w:b/>
        <w:sz w:val="18"/>
        <w:szCs w:val="18"/>
      </w:rPr>
      <w:t>c</w:t>
    </w:r>
    <w:r w:rsidRPr="000928AB">
      <w:rPr>
        <w:rFonts w:ascii="Arial" w:hAnsi="Arial" w:cs="Arial"/>
        <w:b/>
        <w:sz w:val="18"/>
        <w:szCs w:val="18"/>
      </w:rPr>
      <w:t>opy</w:t>
    </w:r>
    <w:r w:rsidRPr="000928AB">
      <w:rPr>
        <w:rFonts w:ascii="Arial" w:hAnsi="Arial" w:cs="Arial"/>
        <w:sz w:val="18"/>
        <w:szCs w:val="18"/>
      </w:rPr>
      <w:t>. Refer to the Department of Education Policy and Procedure Register at</w:t>
    </w:r>
  </w:p>
  <w:p w14:paraId="4EFC91F8" w14:textId="343CF58C" w:rsidR="00781EFB" w:rsidRPr="000928AB" w:rsidRDefault="00F52A63" w:rsidP="00781EFB">
    <w:pPr>
      <w:pStyle w:val="Footer"/>
      <w:tabs>
        <w:tab w:val="clear" w:pos="9026"/>
        <w:tab w:val="right" w:pos="9356"/>
      </w:tabs>
      <w:rPr>
        <w:rFonts w:ascii="Arial" w:hAnsi="Arial" w:cs="Arial"/>
        <w:sz w:val="18"/>
        <w:szCs w:val="18"/>
      </w:rPr>
    </w:pPr>
    <w:hyperlink r:id="rId2" w:history="1">
      <w:r w:rsidRPr="004B6FF9">
        <w:rPr>
          <w:rStyle w:val="Hyperlink"/>
          <w:rFonts w:ascii="Arial" w:hAnsi="Arial" w:cs="Arial"/>
          <w:sz w:val="18"/>
          <w:szCs w:val="18"/>
        </w:rPr>
        <w:t>https://ppr.qed.qld.gov.au/pp/enterprise-risk-management-procedure</w:t>
      </w:r>
    </w:hyperlink>
    <w:r>
      <w:rPr>
        <w:rFonts w:ascii="Arial" w:hAnsi="Arial" w:cs="Arial"/>
        <w:sz w:val="18"/>
        <w:szCs w:val="18"/>
      </w:rPr>
      <w:t xml:space="preserve"> </w:t>
    </w:r>
    <w:r w:rsidR="00781EFB" w:rsidRPr="000928AB">
      <w:rPr>
        <w:rFonts w:ascii="Arial" w:hAnsi="Arial" w:cs="Arial"/>
        <w:sz w:val="18"/>
        <w:szCs w:val="18"/>
      </w:rPr>
      <w:t xml:space="preserve">to ensure you have the most current version. </w:t>
    </w:r>
    <w:r w:rsidR="00781EFB" w:rsidRPr="000928AB">
      <w:rPr>
        <w:rFonts w:ascii="Arial" w:hAnsi="Arial" w:cs="Arial"/>
        <w:noProof/>
        <w:sz w:val="18"/>
        <w:szCs w:val="18"/>
        <w:lang w:val="en-AU" w:eastAsia="zh-CN"/>
      </w:rPr>
      <w:drawing>
        <wp:anchor distT="0" distB="0" distL="114300" distR="114300" simplePos="0" relativeHeight="251675648" behindDoc="1" locked="0" layoutInCell="1" allowOverlap="1" wp14:anchorId="683B2C63" wp14:editId="4122C3DB">
          <wp:simplePos x="0" y="0"/>
          <wp:positionH relativeFrom="column">
            <wp:posOffset>-10795</wp:posOffset>
          </wp:positionH>
          <wp:positionV relativeFrom="paragraph">
            <wp:posOffset>9563100</wp:posOffset>
          </wp:positionV>
          <wp:extent cx="7559040" cy="1117600"/>
          <wp:effectExtent l="0" t="0" r="3810" b="6350"/>
          <wp:wrapNone/>
          <wp:docPr id="34" name="Picture 34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1EFB" w:rsidRPr="000928AB">
      <w:rPr>
        <w:rFonts w:ascii="Arial" w:hAnsi="Arial" w:cs="Arial"/>
        <w:noProof/>
        <w:sz w:val="18"/>
        <w:szCs w:val="18"/>
        <w:lang w:val="en-AU" w:eastAsia="zh-CN"/>
      </w:rPr>
      <w:drawing>
        <wp:anchor distT="0" distB="0" distL="114300" distR="114300" simplePos="0" relativeHeight="251674624" behindDoc="1" locked="0" layoutInCell="1" allowOverlap="1" wp14:anchorId="6DC085FE" wp14:editId="0DE14E86">
          <wp:simplePos x="0" y="0"/>
          <wp:positionH relativeFrom="column">
            <wp:posOffset>-10795</wp:posOffset>
          </wp:positionH>
          <wp:positionV relativeFrom="paragraph">
            <wp:posOffset>9563100</wp:posOffset>
          </wp:positionV>
          <wp:extent cx="7559040" cy="1117600"/>
          <wp:effectExtent l="0" t="0" r="3810" b="6350"/>
          <wp:wrapNone/>
          <wp:docPr id="35" name="Picture 35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1EFB" w:rsidRPr="000928AB">
      <w:rPr>
        <w:rFonts w:ascii="Arial" w:hAnsi="Arial" w:cs="Arial"/>
        <w:noProof/>
        <w:sz w:val="18"/>
        <w:szCs w:val="18"/>
        <w:lang w:val="en-AU" w:eastAsia="zh-CN"/>
      </w:rPr>
      <w:drawing>
        <wp:anchor distT="0" distB="0" distL="114300" distR="114300" simplePos="0" relativeHeight="251673600" behindDoc="1" locked="0" layoutInCell="1" allowOverlap="1" wp14:anchorId="178E17DD" wp14:editId="41364111">
          <wp:simplePos x="0" y="0"/>
          <wp:positionH relativeFrom="column">
            <wp:posOffset>-10795</wp:posOffset>
          </wp:positionH>
          <wp:positionV relativeFrom="paragraph">
            <wp:posOffset>9563100</wp:posOffset>
          </wp:positionV>
          <wp:extent cx="7559040" cy="1117600"/>
          <wp:effectExtent l="0" t="0" r="3810" b="6350"/>
          <wp:wrapNone/>
          <wp:docPr id="36" name="Picture 36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1EFB" w:rsidRPr="000928AB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100918009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616566">
              <w:rPr>
                <w:rFonts w:ascii="Arial" w:hAnsi="Arial" w:cs="Arial"/>
                <w:sz w:val="18"/>
                <w:szCs w:val="18"/>
              </w:rPr>
              <w:br/>
            </w:r>
            <w:r w:rsidR="00781EFB" w:rsidRPr="000928A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781EFB" w:rsidRPr="000928A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781EFB" w:rsidRPr="000928A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781EFB" w:rsidRPr="000928A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781EFB" w:rsidRPr="000928A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81EFB" w:rsidRPr="000928A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781EFB" w:rsidRPr="000928A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781EFB" w:rsidRPr="000928A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="00781EFB" w:rsidRPr="000928A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781EFB" w:rsidRPr="000928A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4A78BCEC" w14:textId="77777777" w:rsidR="009B2A86" w:rsidRDefault="009B2A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310DB" w14:textId="77777777" w:rsidR="003F7B1F" w:rsidRDefault="003F7B1F">
      <w:pPr>
        <w:spacing w:after="0" w:line="240" w:lineRule="auto"/>
      </w:pPr>
      <w:r>
        <w:separator/>
      </w:r>
    </w:p>
  </w:footnote>
  <w:footnote w:type="continuationSeparator" w:id="0">
    <w:p w14:paraId="1E2E95E3" w14:textId="77777777" w:rsidR="003F7B1F" w:rsidRDefault="003F7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31179" w14:textId="77777777" w:rsidR="004D03EA" w:rsidRDefault="000C0119" w:rsidP="004D03EA">
    <w:pPr>
      <w:pStyle w:val="Header"/>
      <w:ind w:left="-142"/>
    </w:pPr>
    <w:r w:rsidRPr="000C0119">
      <w:rPr>
        <w:noProof/>
        <w:lang w:val="en-AU" w:eastAsia="zh-CN"/>
      </w:rPr>
      <w:drawing>
        <wp:anchor distT="0" distB="0" distL="114300" distR="114300" simplePos="0" relativeHeight="251684864" behindDoc="0" locked="0" layoutInCell="1" allowOverlap="1" wp14:anchorId="2D7288B6" wp14:editId="1DF385DD">
          <wp:simplePos x="0" y="0"/>
          <wp:positionH relativeFrom="column">
            <wp:posOffset>-361784</wp:posOffset>
          </wp:positionH>
          <wp:positionV relativeFrom="paragraph">
            <wp:posOffset>-320923</wp:posOffset>
          </wp:positionV>
          <wp:extent cx="7442253" cy="941705"/>
          <wp:effectExtent l="0" t="0" r="6350" b="0"/>
          <wp:wrapNone/>
          <wp:docPr id="10" name="Picture 10" descr="\\corp.qed.qld.gov.au\DFSCoredata\6578_Strategy and Performance\SP_Shared\JMS\Jobs\32359\Header and footer graphics\SP A4 Page Portrait_Header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orp.qed.qld.gov.au\DFSCoredata\6578_Strategy and Performance\SP_Shared\JMS\Jobs\32359\Header and footer graphics\SP A4 Page Portrait_Header_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0046" cy="942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D222E1" w14:textId="77777777" w:rsidR="004D03EA" w:rsidRDefault="004D03EA" w:rsidP="002E615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CB426" w14:textId="1B925383" w:rsidR="009B2A86" w:rsidRDefault="00F074CA" w:rsidP="00F074CA">
    <w:pPr>
      <w:pStyle w:val="Header"/>
      <w:tabs>
        <w:tab w:val="clear" w:pos="4513"/>
        <w:tab w:val="clear" w:pos="9026"/>
        <w:tab w:val="left" w:pos="1210"/>
      </w:tabs>
    </w:pPr>
    <w:r>
      <w:tab/>
    </w:r>
    <w:r w:rsidRPr="0086049C">
      <w:rPr>
        <w:noProof/>
        <w:color w:val="9BBB59" w:themeColor="accent3"/>
        <w:sz w:val="52"/>
        <w:szCs w:val="52"/>
        <w:lang w:val="en-AU" w:eastAsia="zh-CN"/>
      </w:rPr>
      <w:drawing>
        <wp:anchor distT="0" distB="0" distL="114300" distR="114300" simplePos="0" relativeHeight="251686912" behindDoc="1" locked="1" layoutInCell="1" allowOverlap="1" wp14:anchorId="579A98D6" wp14:editId="35FE9337">
          <wp:simplePos x="0" y="0"/>
          <wp:positionH relativeFrom="page">
            <wp:posOffset>72390</wp:posOffset>
          </wp:positionH>
          <wp:positionV relativeFrom="page">
            <wp:posOffset>15240</wp:posOffset>
          </wp:positionV>
          <wp:extent cx="7559675" cy="990600"/>
          <wp:effectExtent l="0" t="0" r="317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6"/>
    <w:rsid w:val="00014546"/>
    <w:rsid w:val="00075A5C"/>
    <w:rsid w:val="000928AB"/>
    <w:rsid w:val="000C0119"/>
    <w:rsid w:val="000C1DEC"/>
    <w:rsid w:val="000D158E"/>
    <w:rsid w:val="00140C6C"/>
    <w:rsid w:val="00167B5A"/>
    <w:rsid w:val="001A4F89"/>
    <w:rsid w:val="001C1BA4"/>
    <w:rsid w:val="0021216B"/>
    <w:rsid w:val="002A22B1"/>
    <w:rsid w:val="002D2619"/>
    <w:rsid w:val="002E6154"/>
    <w:rsid w:val="00306AB8"/>
    <w:rsid w:val="0032187D"/>
    <w:rsid w:val="0032459D"/>
    <w:rsid w:val="00372885"/>
    <w:rsid w:val="003C4FB1"/>
    <w:rsid w:val="003F5E0B"/>
    <w:rsid w:val="003F7B1F"/>
    <w:rsid w:val="0040718F"/>
    <w:rsid w:val="004431F9"/>
    <w:rsid w:val="0045255B"/>
    <w:rsid w:val="00467469"/>
    <w:rsid w:val="004A1DF0"/>
    <w:rsid w:val="004C50E7"/>
    <w:rsid w:val="004D03EA"/>
    <w:rsid w:val="00546FCD"/>
    <w:rsid w:val="00557E5F"/>
    <w:rsid w:val="005845E7"/>
    <w:rsid w:val="005D31CF"/>
    <w:rsid w:val="00616566"/>
    <w:rsid w:val="00635F61"/>
    <w:rsid w:val="00670A5B"/>
    <w:rsid w:val="006C69D6"/>
    <w:rsid w:val="006E2239"/>
    <w:rsid w:val="006E45E1"/>
    <w:rsid w:val="007178AE"/>
    <w:rsid w:val="00740CCE"/>
    <w:rsid w:val="00781EFB"/>
    <w:rsid w:val="007A0646"/>
    <w:rsid w:val="007C475D"/>
    <w:rsid w:val="007C6BB5"/>
    <w:rsid w:val="007F10A6"/>
    <w:rsid w:val="007F6860"/>
    <w:rsid w:val="0081102A"/>
    <w:rsid w:val="00827CF3"/>
    <w:rsid w:val="00863DAE"/>
    <w:rsid w:val="00887340"/>
    <w:rsid w:val="00894423"/>
    <w:rsid w:val="00896A5A"/>
    <w:rsid w:val="008D62E8"/>
    <w:rsid w:val="009539E6"/>
    <w:rsid w:val="009A79A9"/>
    <w:rsid w:val="009B2A86"/>
    <w:rsid w:val="009D73B0"/>
    <w:rsid w:val="00A07DEC"/>
    <w:rsid w:val="00A22039"/>
    <w:rsid w:val="00A55810"/>
    <w:rsid w:val="00A6283C"/>
    <w:rsid w:val="00A756BE"/>
    <w:rsid w:val="00A80622"/>
    <w:rsid w:val="00AD1257"/>
    <w:rsid w:val="00AD3E43"/>
    <w:rsid w:val="00AE7512"/>
    <w:rsid w:val="00AF76E0"/>
    <w:rsid w:val="00B03E1A"/>
    <w:rsid w:val="00B232D4"/>
    <w:rsid w:val="00B3719D"/>
    <w:rsid w:val="00B4417D"/>
    <w:rsid w:val="00B4611D"/>
    <w:rsid w:val="00B51C18"/>
    <w:rsid w:val="00B53B42"/>
    <w:rsid w:val="00B9032E"/>
    <w:rsid w:val="00BE6A14"/>
    <w:rsid w:val="00BF5EA7"/>
    <w:rsid w:val="00C7258A"/>
    <w:rsid w:val="00CA4E43"/>
    <w:rsid w:val="00CB67A4"/>
    <w:rsid w:val="00CD66A6"/>
    <w:rsid w:val="00CE4584"/>
    <w:rsid w:val="00CF2D42"/>
    <w:rsid w:val="00D27622"/>
    <w:rsid w:val="00D44493"/>
    <w:rsid w:val="00D714C1"/>
    <w:rsid w:val="00D94F6F"/>
    <w:rsid w:val="00DF1C5D"/>
    <w:rsid w:val="00E060E6"/>
    <w:rsid w:val="00E16048"/>
    <w:rsid w:val="00E248CE"/>
    <w:rsid w:val="00E42E03"/>
    <w:rsid w:val="00E659E9"/>
    <w:rsid w:val="00E6624C"/>
    <w:rsid w:val="00E70D1E"/>
    <w:rsid w:val="00E81BCB"/>
    <w:rsid w:val="00E86A31"/>
    <w:rsid w:val="00EA40AB"/>
    <w:rsid w:val="00EC665D"/>
    <w:rsid w:val="00EF598B"/>
    <w:rsid w:val="00F01FAB"/>
    <w:rsid w:val="00F074CA"/>
    <w:rsid w:val="00F20E04"/>
    <w:rsid w:val="00F4739E"/>
    <w:rsid w:val="00F52A63"/>
    <w:rsid w:val="00F9492B"/>
    <w:rsid w:val="00FC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6EDFAE86"/>
  <w15:docId w15:val="{98302373-C661-427A-8D8D-D7E23462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557E5F"/>
    <w:pPr>
      <w:keepNext/>
      <w:keepLines/>
      <w:widowControl/>
      <w:spacing w:before="240" w:after="120" w:line="240" w:lineRule="auto"/>
      <w:outlineLvl w:val="0"/>
    </w:pPr>
    <w:rPr>
      <w:rFonts w:eastAsiaTheme="majorEastAsia" w:cstheme="minorHAnsi"/>
      <w:b/>
      <w:bCs/>
      <w:color w:val="9BBB59" w:themeColor="accent3"/>
      <w:sz w:val="40"/>
      <w:szCs w:val="28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7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611D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557E5F"/>
    <w:rPr>
      <w:rFonts w:eastAsiaTheme="majorEastAsia" w:cstheme="minorHAnsi"/>
      <w:b/>
      <w:bCs/>
      <w:color w:val="9BBB59" w:themeColor="accent3"/>
      <w:sz w:val="40"/>
      <w:szCs w:val="28"/>
      <w:lang w:val="en-AU"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557E5F"/>
    <w:pPr>
      <w:keepNext/>
      <w:widowControl/>
      <w:autoSpaceDE w:val="0"/>
      <w:autoSpaceDN w:val="0"/>
      <w:adjustRightInd w:val="0"/>
      <w:spacing w:line="240" w:lineRule="auto"/>
    </w:pPr>
    <w:rPr>
      <w:rFonts w:ascii="Calibri" w:eastAsia="SimSun" w:hAnsi="Calibri" w:cs="MetaNormalLF-Roman"/>
      <w:b/>
      <w:bCs/>
      <w:color w:val="9BBB59" w:themeColor="accent3"/>
      <w:szCs w:val="18"/>
      <w:lang w:val="en-AU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E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A22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2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2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2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2B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0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3EA"/>
  </w:style>
  <w:style w:type="paragraph" w:styleId="Footer">
    <w:name w:val="footer"/>
    <w:basedOn w:val="Normal"/>
    <w:link w:val="FooterChar"/>
    <w:uiPriority w:val="99"/>
    <w:unhideWhenUsed/>
    <w:rsid w:val="004D0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3EA"/>
  </w:style>
  <w:style w:type="paragraph" w:styleId="Revision">
    <w:name w:val="Revision"/>
    <w:hidden/>
    <w:uiPriority w:val="99"/>
    <w:semiHidden/>
    <w:rsid w:val="00A55810"/>
    <w:pPr>
      <w:widowControl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A1D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5E0B"/>
    <w:rPr>
      <w:color w:val="800080" w:themeColor="followedHyperlink"/>
      <w:u w:val="single"/>
    </w:rPr>
  </w:style>
  <w:style w:type="paragraph" w:customStyle="1" w:styleId="ISheading">
    <w:name w:val="IS heading"/>
    <w:basedOn w:val="Heading1"/>
    <w:link w:val="ISheadingChar"/>
    <w:qFormat/>
    <w:rsid w:val="007A0646"/>
    <w:pPr>
      <w:tabs>
        <w:tab w:val="left" w:pos="0"/>
      </w:tabs>
      <w:spacing w:after="0"/>
      <w:jc w:val="both"/>
    </w:pPr>
    <w:rPr>
      <w:rFonts w:ascii="Arial" w:hAnsi="Arial" w:cs="Arial"/>
      <w:bCs w:val="0"/>
      <w:color w:val="5F497A" w:themeColor="accent4" w:themeShade="BF"/>
      <w:sz w:val="36"/>
      <w:szCs w:val="32"/>
    </w:rPr>
  </w:style>
  <w:style w:type="character" w:customStyle="1" w:styleId="ISheadingChar">
    <w:name w:val="IS heading Char"/>
    <w:basedOn w:val="Heading1Char"/>
    <w:link w:val="ISheading"/>
    <w:rsid w:val="007A0646"/>
    <w:rPr>
      <w:rFonts w:ascii="Arial" w:eastAsiaTheme="majorEastAsia" w:hAnsi="Arial" w:cs="Arial"/>
      <w:b/>
      <w:bCs w:val="0"/>
      <w:color w:val="5F497A" w:themeColor="accent4" w:themeShade="BF"/>
      <w:sz w:val="36"/>
      <w:szCs w:val="32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terprise.riskmanagement@qed.qld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pr.mpe.qed.qld.gov.au/pp/enterprise-risk-management-procedure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ppr.mpe.qed.qld.gov.au/attachment/enterprise-risk-management-framework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s://ppr.mpe.qed.qld.gov.au/pp/enterprise-risk-management-procedure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s://ppr.mpe.qed.qld.gov.au/pp/enterprise-risk-management-procedure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20/675596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2022-03-10T01:36:15+00:00</PPSubmittedDate>
    <PPRRiskcontrol xmlns="http://schemas.microsoft.com/sharepoint/v3">false</PPRRiskcontrol>
    <PPRHierarchyID xmlns="http://schemas.microsoft.com/sharepoint/v3">20/668317</PPRHierarchyID>
    <PPRBranch xmlns="http://schemas.microsoft.com/sharepoint/v3">Strategy and Performance</PPRBranch>
    <PPRDescription xmlns="http://schemas.microsoft.com/sharepoint/v3">Information sheet 4 – Risk consequence categories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KINSELLA, Marie</DisplayName>
        <AccountId>36</AccountId>
        <AccountType/>
      </UserInfo>
    </PPSubmittedBy>
    <PPRNotes xmlns="http://schemas.microsoft.com/sharepoint/v3" xsi:nil="true"/>
    <PPRDivision xmlns="http://schemas.microsoft.com/sharepoint/v3">Policy, Performance and Planning</PPRDivision>
    <PPLastReviewedDate xmlns="16795be8-4374-4e44-895d-be6cdbab3e2c">2022-03-10T01:43:01+00:00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2022-03-10T01:43:01+00:00</PPModeratedDate>
    <PPRBusinessUnit xmlns="http://schemas.microsoft.com/sharepoint/v3">Performance, Improvement and Risk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2021-02-01T01:34:23+00:00</PPRHPRMUpdateDate>
    <PPRPrimaryCategory xmlns="16795be8-4374-4e44-895d-be6cdbab3e2c">12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marie.kinsella@qed.qld.gov.au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Nikki Tran, Director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 xsi:nil="true"/>
    <PublishingStartDate xmlns="http://schemas.microsoft.com/sharepoint/v3" xsi:nil="true"/>
    <PPRContentOwner xmlns="http://schemas.microsoft.com/sharepoint/v3">DDG, Policy, Performance and Planning</PPRContentOwner>
    <PPRNominatedApprovers xmlns="http://schemas.microsoft.com/sharepoint/v3">Director; ADG; DDG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4</PPRHPRMRevisionNumber>
    <PPRKeywords xmlns="http://schemas.microsoft.com/sharepoint/v3">31000:2009; assessing risk; EMB; Executive Management Board; ERM; ERMF; enterprise risk management framework; enterprise risk management policy; enterprise risk management procedure; governance and risk; managing risk; operational risk; program risk; project risk; risk action; risk appetite; risk assessment; risk control; risk management standard; risk reporting; risk assessment;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20/668316</PPRAttachmentParent>
    <PPRSecondarySubCategory xmlns="16795be8-4374-4e44-895d-be6cdbab3e2c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082EE1-5CBD-49A2-9504-B4D04768AFEC}"/>
</file>

<file path=customXml/itemProps2.xml><?xml version="1.0" encoding="utf-8"?>
<ds:datastoreItem xmlns:ds="http://schemas.openxmlformats.org/officeDocument/2006/customXml" ds:itemID="{A96A8690-D88E-4809-8C0C-F1C8BA1B7CC3}"/>
</file>

<file path=customXml/itemProps3.xml><?xml version="1.0" encoding="utf-8"?>
<ds:datastoreItem xmlns:ds="http://schemas.openxmlformats.org/officeDocument/2006/customXml" ds:itemID="{325C63C3-5E5B-4D35-B3B4-501C7D02BD81}"/>
</file>

<file path=customXml/itemProps4.xml><?xml version="1.0" encoding="utf-8"?>
<ds:datastoreItem xmlns:ds="http://schemas.openxmlformats.org/officeDocument/2006/customXml" ds:itemID="{0F2B9FBB-38DC-4456-B407-87B67B01B5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898</Words>
  <Characters>6010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Management - Risk assessment criteria</vt:lpstr>
    </vt:vector>
  </TitlesOfParts>
  <Company>DET</Company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 4 – Risk consequence categories</dc:title>
  <dc:subject>Risk management</dc:subject>
  <dc:creator>State of Queensland</dc:creator>
  <cp:keywords>Risk management</cp:keywords>
  <cp:lastModifiedBy>CAMERON, Simone</cp:lastModifiedBy>
  <cp:revision>4</cp:revision>
  <cp:lastPrinted>2019-11-13T06:39:00Z</cp:lastPrinted>
  <dcterms:created xsi:type="dcterms:W3CDTF">2021-02-01T01:15:00Z</dcterms:created>
  <dcterms:modified xsi:type="dcterms:W3CDTF">2021-02-01T01:34:00Z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2014-08-08T00:00:00Z</vt:filetime>
  </property>
  <property fmtid="{D5CDD505-2E9C-101B-9397-08002B2CF9AE}" pid="3" name="LastSaved">
    <vt:filetime>2016-09-02T00:00:00Z</vt:filetime>
  </property>
  <property fmtid="{D5CDD505-2E9C-101B-9397-08002B2CF9AE}" pid="4" name="ContentTypeId">
    <vt:lpwstr>0x0101002CD7558897FC4235A682984CA042D72E0080A487CF4296A94BBAFF531C206947CC</vt:lpwstr>
  </property>
  <property fmtid="{D5CDD505-2E9C-101B-9397-08002B2CF9AE}" pid="5" name="Order">
    <vt:r8>24100</vt:r8>
  </property>
</Properties>
</file>