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7766" w14:textId="50D189CA" w:rsidR="00D76DBD" w:rsidRDefault="00D76DBD" w:rsidP="00102F43">
      <w:pPr>
        <w:rPr>
          <w:b/>
        </w:rPr>
      </w:pPr>
      <w:r w:rsidRPr="0086049C">
        <w:rPr>
          <w:rFonts w:eastAsia="Times New Roman"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BD392" wp14:editId="42438567">
                <wp:simplePos x="0" y="0"/>
                <wp:positionH relativeFrom="margin">
                  <wp:posOffset>-38100</wp:posOffset>
                </wp:positionH>
                <wp:positionV relativeFrom="paragraph">
                  <wp:posOffset>98425</wp:posOffset>
                </wp:positionV>
                <wp:extent cx="6736715" cy="7969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68B81" w14:textId="402B9300" w:rsidR="00D76DBD" w:rsidRPr="00544716" w:rsidRDefault="006F5010" w:rsidP="00D76DBD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Information sheet 5</w:t>
                            </w:r>
                          </w:p>
                          <w:p w14:paraId="6F02B93D" w14:textId="0E15182C" w:rsidR="00D76DBD" w:rsidRPr="00F4061B" w:rsidRDefault="00D76DBD" w:rsidP="00D76DBD">
                            <w:pPr>
                              <w:pStyle w:val="ISheading"/>
                              <w:pBdr>
                                <w:bottom w:val="single" w:sz="4" w:space="1" w:color="auto"/>
                              </w:pBdr>
                              <w:spacing w:before="120" w:line="276" w:lineRule="auto"/>
                              <w:rPr>
                                <w:color w:val="705AC5"/>
                              </w:rPr>
                            </w:pPr>
                            <w:r>
                              <w:rPr>
                                <w:color w:val="705AC5"/>
                                <w:szCs w:val="36"/>
                              </w:rPr>
                              <w:t>Ideas, innovation and risk</w:t>
                            </w:r>
                          </w:p>
                          <w:p w14:paraId="56895038" w14:textId="77777777" w:rsidR="00D76DBD" w:rsidRPr="0086049C" w:rsidRDefault="00D76DBD" w:rsidP="00D76DBD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D39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pt;margin-top:7.75pt;width:530.4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" filled="f" stroked="f" strokeweight=".5pt">
                <v:textbox>
                  <w:txbxContent>
                    <w:p w14:paraId="6E668B81" w14:textId="402B9300" w:rsidR="00D76DBD" w:rsidRPr="00544716" w:rsidRDefault="006F5010" w:rsidP="00D76DBD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Information sheet 5</w:t>
                      </w:r>
                    </w:p>
                    <w:p w14:paraId="6F02B93D" w14:textId="0E15182C" w:rsidR="00D76DBD" w:rsidRPr="00F4061B" w:rsidRDefault="00D76DBD" w:rsidP="00D76DBD">
                      <w:pPr>
                        <w:pStyle w:val="ISheading"/>
                        <w:pBdr>
                          <w:bottom w:val="single" w:sz="4" w:space="1" w:color="auto"/>
                        </w:pBdr>
                        <w:spacing w:before="120" w:line="276" w:lineRule="auto"/>
                        <w:rPr>
                          <w:color w:val="705AC5"/>
                        </w:rPr>
                      </w:pPr>
                      <w:r>
                        <w:rPr>
                          <w:color w:val="705AC5"/>
                          <w:szCs w:val="36"/>
                        </w:rPr>
                        <w:t>Ideas, innovation and risk</w:t>
                      </w:r>
                    </w:p>
                    <w:p w14:paraId="56895038" w14:textId="77777777" w:rsidR="00D76DBD" w:rsidRPr="0086049C" w:rsidRDefault="00D76DBD" w:rsidP="00D76DBD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49C">
        <w:rPr>
          <w:noProof/>
          <w:color w:val="A5A5A5" w:themeColor="accent3"/>
          <w:sz w:val="52"/>
          <w:szCs w:val="52"/>
          <w:lang w:eastAsia="zh-CN"/>
        </w:rPr>
        <w:drawing>
          <wp:anchor distT="0" distB="0" distL="114300" distR="114300" simplePos="0" relativeHeight="251659264" behindDoc="1" locked="1" layoutInCell="1" allowOverlap="1" wp14:anchorId="5A49D252" wp14:editId="47F935F3">
            <wp:simplePos x="0" y="0"/>
            <wp:positionH relativeFrom="page">
              <wp:align>left</wp:align>
            </wp:positionH>
            <wp:positionV relativeFrom="page">
              <wp:posOffset>25400</wp:posOffset>
            </wp:positionV>
            <wp:extent cx="7559675" cy="9906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A4 portrait_overla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18DAC" w14:textId="6848EDA4" w:rsidR="00D76DBD" w:rsidRDefault="00D76DBD" w:rsidP="00102F43">
      <w:pPr>
        <w:rPr>
          <w:b/>
        </w:rPr>
      </w:pPr>
    </w:p>
    <w:p w14:paraId="4AEC1AE4" w14:textId="5ED06C1A" w:rsidR="00D76DBD" w:rsidRDefault="00D76DBD" w:rsidP="00102F43">
      <w:pPr>
        <w:rPr>
          <w:b/>
        </w:rPr>
      </w:pPr>
    </w:p>
    <w:p w14:paraId="742D5DE6" w14:textId="21E50977" w:rsidR="00E67501" w:rsidRPr="00D76DBD" w:rsidRDefault="00F97E29" w:rsidP="002915EC">
      <w:pPr>
        <w:pStyle w:val="Heading2-numbered"/>
        <w:numPr>
          <w:ilvl w:val="0"/>
          <w:numId w:val="0"/>
        </w:numPr>
      </w:pPr>
      <w:r w:rsidRPr="00F97E29">
        <w:t>Considering a new idea or activity?</w:t>
      </w:r>
    </w:p>
    <w:p w14:paraId="0154F519" w14:textId="03761CB9" w:rsidR="00496BD0" w:rsidRDefault="003362AA">
      <w:p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 xml:space="preserve">New ideas, innovation and opportunities may have a large impact on </w:t>
      </w:r>
      <w:r w:rsidR="004825CC" w:rsidRPr="00D76DBD">
        <w:rPr>
          <w:rFonts w:ascii="Arial" w:hAnsi="Arial" w:cs="Arial"/>
          <w:sz w:val="20"/>
        </w:rPr>
        <w:t xml:space="preserve">improving </w:t>
      </w:r>
      <w:r w:rsidRPr="00D76DBD">
        <w:rPr>
          <w:rFonts w:ascii="Arial" w:hAnsi="Arial" w:cs="Arial"/>
          <w:sz w:val="20"/>
        </w:rPr>
        <w:t xml:space="preserve">outcomes for children, young people and communities. </w:t>
      </w:r>
      <w:r w:rsidR="004825CC" w:rsidRPr="00D76DBD">
        <w:rPr>
          <w:rFonts w:ascii="Arial" w:hAnsi="Arial" w:cs="Arial"/>
          <w:sz w:val="20"/>
        </w:rPr>
        <w:t xml:space="preserve">New </w:t>
      </w:r>
      <w:r w:rsidR="004411C6" w:rsidRPr="00D76DBD">
        <w:rPr>
          <w:rFonts w:ascii="Arial" w:hAnsi="Arial" w:cs="Arial"/>
          <w:sz w:val="20"/>
        </w:rPr>
        <w:t xml:space="preserve">and innovative </w:t>
      </w:r>
      <w:r w:rsidR="004825CC" w:rsidRPr="00D76DBD">
        <w:rPr>
          <w:rFonts w:ascii="Arial" w:hAnsi="Arial" w:cs="Arial"/>
          <w:sz w:val="20"/>
        </w:rPr>
        <w:t xml:space="preserve">ideas may resolve a local issue or could be </w:t>
      </w:r>
      <w:r w:rsidR="00311478" w:rsidRPr="00D76DBD">
        <w:rPr>
          <w:rFonts w:ascii="Arial" w:hAnsi="Arial" w:cs="Arial"/>
          <w:sz w:val="20"/>
        </w:rPr>
        <w:t xml:space="preserve">more broadly </w:t>
      </w:r>
      <w:r w:rsidR="004825CC" w:rsidRPr="00D76DBD">
        <w:rPr>
          <w:rFonts w:ascii="Arial" w:hAnsi="Arial" w:cs="Arial"/>
          <w:sz w:val="20"/>
        </w:rPr>
        <w:t xml:space="preserve">applied across the department’s activities. </w:t>
      </w:r>
      <w:r w:rsidR="00496BD0">
        <w:rPr>
          <w:rFonts w:ascii="Arial" w:hAnsi="Arial" w:cs="Arial"/>
          <w:sz w:val="20"/>
        </w:rPr>
        <w:t>When considering a new idea or activity, also c</w:t>
      </w:r>
      <w:r w:rsidR="004411C6" w:rsidRPr="00D76DBD">
        <w:rPr>
          <w:rFonts w:ascii="Arial" w:hAnsi="Arial" w:cs="Arial"/>
          <w:sz w:val="20"/>
        </w:rPr>
        <w:t xml:space="preserve">onsider </w:t>
      </w:r>
      <w:r w:rsidR="00A4476F" w:rsidRPr="00D76DBD">
        <w:rPr>
          <w:rFonts w:ascii="Arial" w:hAnsi="Arial" w:cs="Arial"/>
          <w:sz w:val="20"/>
        </w:rPr>
        <w:t>the risks</w:t>
      </w:r>
      <w:r w:rsidR="004411C6" w:rsidRPr="00D76DBD">
        <w:rPr>
          <w:rFonts w:ascii="Arial" w:hAnsi="Arial" w:cs="Arial"/>
          <w:sz w:val="20"/>
        </w:rPr>
        <w:t xml:space="preserve"> </w:t>
      </w:r>
      <w:r w:rsidR="00A4476F" w:rsidRPr="00D76DBD">
        <w:rPr>
          <w:rFonts w:ascii="Arial" w:hAnsi="Arial" w:cs="Arial"/>
          <w:sz w:val="20"/>
        </w:rPr>
        <w:t xml:space="preserve">that may occur </w:t>
      </w:r>
      <w:r w:rsidR="002334B6" w:rsidRPr="00D76DBD">
        <w:rPr>
          <w:rFonts w:ascii="Arial" w:hAnsi="Arial" w:cs="Arial"/>
          <w:sz w:val="20"/>
        </w:rPr>
        <w:t>before, during and after the activity commences</w:t>
      </w:r>
      <w:r w:rsidR="00A4476F" w:rsidRPr="00D76DBD">
        <w:rPr>
          <w:rFonts w:ascii="Arial" w:hAnsi="Arial" w:cs="Arial"/>
          <w:sz w:val="20"/>
        </w:rPr>
        <w:t>.</w:t>
      </w:r>
    </w:p>
    <w:p w14:paraId="5ED12BCF" w14:textId="4FA3F4B6" w:rsidR="00496BD0" w:rsidRPr="00FB4FAD" w:rsidRDefault="00496BD0" w:rsidP="00496BD0">
      <w:pPr>
        <w:rPr>
          <w:rFonts w:ascii="Arial" w:hAnsi="Arial" w:cs="Arial"/>
          <w:sz w:val="20"/>
        </w:rPr>
      </w:pPr>
      <w:r w:rsidRPr="00FB4FAD">
        <w:rPr>
          <w:rFonts w:ascii="Arial" w:hAnsi="Arial" w:cs="Arial"/>
          <w:sz w:val="20"/>
        </w:rPr>
        <w:t>Risk</w:t>
      </w:r>
      <w:r w:rsidR="0070259F">
        <w:rPr>
          <w:rFonts w:ascii="Arial" w:hAnsi="Arial" w:cs="Arial"/>
          <w:sz w:val="20"/>
        </w:rPr>
        <w:t>s</w:t>
      </w:r>
      <w:r w:rsidRPr="00FB4FAD">
        <w:rPr>
          <w:rFonts w:ascii="Arial" w:hAnsi="Arial" w:cs="Arial"/>
          <w:sz w:val="20"/>
        </w:rPr>
        <w:t xml:space="preserve"> should not prevent you from considering a new idea or innovation. Instead it should allow you to consider all risks associated with the activity </w:t>
      </w:r>
      <w:r w:rsidR="0070259F">
        <w:rPr>
          <w:rFonts w:ascii="Arial" w:hAnsi="Arial" w:cs="Arial"/>
          <w:sz w:val="20"/>
        </w:rPr>
        <w:t xml:space="preserve">to help </w:t>
      </w:r>
      <w:r w:rsidRPr="00FB4FAD">
        <w:rPr>
          <w:rFonts w:ascii="Arial" w:hAnsi="Arial" w:cs="Arial"/>
          <w:sz w:val="20"/>
        </w:rPr>
        <w:t xml:space="preserve">make an informed decision about </w:t>
      </w:r>
      <w:r w:rsidR="0070259F">
        <w:rPr>
          <w:rFonts w:ascii="Arial" w:hAnsi="Arial" w:cs="Arial"/>
          <w:sz w:val="20"/>
        </w:rPr>
        <w:t>how you should proceed.</w:t>
      </w:r>
      <w:r w:rsidRPr="00FB4FAD">
        <w:rPr>
          <w:rFonts w:ascii="Arial" w:hAnsi="Arial" w:cs="Arial"/>
          <w:sz w:val="20"/>
        </w:rPr>
        <w:t xml:space="preserve"> </w:t>
      </w:r>
    </w:p>
    <w:p w14:paraId="1C5C86A0" w14:textId="436670FB" w:rsidR="003362AA" w:rsidRPr="00D76DBD" w:rsidRDefault="004825CC">
      <w:p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 xml:space="preserve">The department monitors risks that may impact the achievement of strategic objectives according to the </w:t>
      </w:r>
      <w:r w:rsidR="0070259F">
        <w:rPr>
          <w:rFonts w:ascii="Arial" w:hAnsi="Arial" w:cs="Arial"/>
          <w:sz w:val="20"/>
        </w:rPr>
        <w:t xml:space="preserve">department’s risk </w:t>
      </w:r>
      <w:r w:rsidRPr="00D76DBD">
        <w:rPr>
          <w:rFonts w:ascii="Arial" w:hAnsi="Arial" w:cs="Arial"/>
          <w:sz w:val="20"/>
        </w:rPr>
        <w:t>appetite.</w:t>
      </w:r>
      <w:r w:rsidR="00686922" w:rsidRPr="00D76DBD">
        <w:rPr>
          <w:rFonts w:ascii="Arial" w:hAnsi="Arial" w:cs="Arial"/>
          <w:sz w:val="20"/>
        </w:rPr>
        <w:t xml:space="preserve"> </w:t>
      </w:r>
      <w:r w:rsidR="003362AA" w:rsidRPr="00D76DBD">
        <w:rPr>
          <w:rFonts w:ascii="Arial" w:hAnsi="Arial" w:cs="Arial"/>
          <w:sz w:val="20"/>
        </w:rPr>
        <w:t>The department has the lowest appetite for risks associated with:</w:t>
      </w:r>
    </w:p>
    <w:p w14:paraId="24A57827" w14:textId="74538790" w:rsidR="003362AA" w:rsidRPr="00D76DBD" w:rsidRDefault="003362AA" w:rsidP="003362A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>safety of children and students</w:t>
      </w:r>
    </w:p>
    <w:p w14:paraId="7AFF2357" w14:textId="1D1E0A15" w:rsidR="003362AA" w:rsidRPr="00D76DBD" w:rsidRDefault="003362AA" w:rsidP="003362A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>workplace health and safety of its staff and the community</w:t>
      </w:r>
    </w:p>
    <w:p w14:paraId="28FBC322" w14:textId="7CF10846" w:rsidR="003362AA" w:rsidRPr="00D76DBD" w:rsidRDefault="003362AA" w:rsidP="003362A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>security of confidential and personal information held by the department</w:t>
      </w:r>
    </w:p>
    <w:p w14:paraId="5D79B303" w14:textId="77777777" w:rsidR="003362AA" w:rsidRPr="00D76DBD" w:rsidRDefault="003362AA" w:rsidP="003362A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proofErr w:type="gramStart"/>
      <w:r w:rsidRPr="00D76DBD">
        <w:rPr>
          <w:rFonts w:ascii="Arial" w:hAnsi="Arial" w:cs="Arial"/>
          <w:sz w:val="20"/>
        </w:rPr>
        <w:t>fraud</w:t>
      </w:r>
      <w:proofErr w:type="gramEnd"/>
      <w:r w:rsidRPr="00D76DBD">
        <w:rPr>
          <w:rFonts w:ascii="Arial" w:hAnsi="Arial" w:cs="Arial"/>
          <w:sz w:val="20"/>
        </w:rPr>
        <w:t xml:space="preserve"> and corruption.</w:t>
      </w:r>
    </w:p>
    <w:p w14:paraId="20D554C1" w14:textId="1AE37ABD" w:rsidR="00044DF8" w:rsidRPr="00D76DBD" w:rsidRDefault="004825CC" w:rsidP="00044DF8">
      <w:p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>To</w:t>
      </w:r>
      <w:r w:rsidR="0070259F">
        <w:rPr>
          <w:rFonts w:ascii="Arial" w:hAnsi="Arial" w:cs="Arial"/>
          <w:sz w:val="20"/>
        </w:rPr>
        <w:t xml:space="preserve"> foster</w:t>
      </w:r>
      <w:r w:rsidRPr="00D76DBD">
        <w:rPr>
          <w:rFonts w:ascii="Arial" w:hAnsi="Arial" w:cs="Arial"/>
          <w:sz w:val="20"/>
        </w:rPr>
        <w:t xml:space="preserve"> new ideas, t</w:t>
      </w:r>
      <w:r w:rsidR="003362AA" w:rsidRPr="00D76DBD">
        <w:rPr>
          <w:rFonts w:ascii="Arial" w:hAnsi="Arial" w:cs="Arial"/>
          <w:sz w:val="20"/>
        </w:rPr>
        <w:t>he department is willing to accept a higher level of risk when pursuing innovation and opportunities that further its strategic objectives to give all children a great start, engage young people in learning and creating safe, fair and productive workplaces and communities.</w:t>
      </w:r>
      <w:r w:rsidR="00044DF8" w:rsidRPr="00D76DBD">
        <w:rPr>
          <w:rFonts w:ascii="Arial" w:hAnsi="Arial" w:cs="Arial"/>
          <w:sz w:val="20"/>
        </w:rPr>
        <w:t xml:space="preserve"> The complexity of the operating model and environment will influence the level of risk the department is willing to accept.</w:t>
      </w:r>
    </w:p>
    <w:p w14:paraId="332141B6" w14:textId="57E38FF3" w:rsidR="004825CC" w:rsidRPr="00D76DBD" w:rsidRDefault="000C20AD" w:rsidP="003362AA">
      <w:p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>When considering new ideas or initiatives, consideration must be given to:</w:t>
      </w:r>
    </w:p>
    <w:p w14:paraId="1DE2B58A" w14:textId="77B3391B" w:rsidR="000C20AD" w:rsidRPr="00D76DBD" w:rsidRDefault="002915EC" w:rsidP="000C20AD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C20AD" w:rsidRPr="00D76DBD">
        <w:rPr>
          <w:rFonts w:ascii="Arial" w:hAnsi="Arial" w:cs="Arial"/>
          <w:sz w:val="20"/>
        </w:rPr>
        <w:t xml:space="preserve">he level of risk (or opportunity) the decision </w:t>
      </w:r>
      <w:r w:rsidR="00686922" w:rsidRPr="00D76DBD">
        <w:rPr>
          <w:rFonts w:ascii="Arial" w:hAnsi="Arial" w:cs="Arial"/>
          <w:sz w:val="20"/>
        </w:rPr>
        <w:t xml:space="preserve">or activity </w:t>
      </w:r>
      <w:r w:rsidR="000C20AD" w:rsidRPr="00D76DBD">
        <w:rPr>
          <w:rFonts w:ascii="Arial" w:hAnsi="Arial" w:cs="Arial"/>
          <w:sz w:val="20"/>
        </w:rPr>
        <w:t>will create</w:t>
      </w:r>
    </w:p>
    <w:p w14:paraId="1D5B417B" w14:textId="33D4CA0B" w:rsidR="000C20AD" w:rsidRPr="00D76DBD" w:rsidRDefault="002915EC" w:rsidP="000C20AD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0C20AD" w:rsidRPr="00D76DBD">
        <w:rPr>
          <w:rFonts w:ascii="Arial" w:hAnsi="Arial" w:cs="Arial"/>
          <w:sz w:val="20"/>
        </w:rPr>
        <w:t>hether the proposed level of risk (or opportunity) aligns with the department’s risk appetite</w:t>
      </w:r>
    </w:p>
    <w:p w14:paraId="50EBD710" w14:textId="50E62B46" w:rsidR="000C20AD" w:rsidRPr="00D76DBD" w:rsidRDefault="002915EC" w:rsidP="000C20AD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w</w:t>
      </w:r>
      <w:r w:rsidR="000C20AD" w:rsidRPr="00D76DBD">
        <w:rPr>
          <w:rFonts w:ascii="Arial" w:hAnsi="Arial" w:cs="Arial"/>
          <w:sz w:val="20"/>
        </w:rPr>
        <w:t>hat</w:t>
      </w:r>
      <w:proofErr w:type="gramEnd"/>
      <w:r w:rsidR="000C20AD" w:rsidRPr="00D76DBD">
        <w:rPr>
          <w:rFonts w:ascii="Arial" w:hAnsi="Arial" w:cs="Arial"/>
          <w:sz w:val="20"/>
        </w:rPr>
        <w:t xml:space="preserve"> actions or control</w:t>
      </w:r>
      <w:r>
        <w:rPr>
          <w:rFonts w:ascii="Arial" w:hAnsi="Arial" w:cs="Arial"/>
          <w:sz w:val="20"/>
        </w:rPr>
        <w:t>s</w:t>
      </w:r>
      <w:r w:rsidR="000C20AD" w:rsidRPr="00D76DBD">
        <w:rPr>
          <w:rFonts w:ascii="Arial" w:hAnsi="Arial" w:cs="Arial"/>
          <w:sz w:val="20"/>
        </w:rPr>
        <w:t xml:space="preserve"> can be taken to reduce the impact of the risk to an acceptable level (or to maximise the opportunity).</w:t>
      </w:r>
    </w:p>
    <w:p w14:paraId="02A65051" w14:textId="75F788ED" w:rsidR="005D0044" w:rsidRPr="00D76DBD" w:rsidRDefault="005D0044" w:rsidP="00311478">
      <w:pPr>
        <w:rPr>
          <w:rFonts w:ascii="Arial" w:hAnsi="Arial" w:cs="Arial"/>
          <w:sz w:val="20"/>
        </w:rPr>
      </w:pPr>
      <w:r w:rsidRPr="00D76DBD">
        <w:rPr>
          <w:rFonts w:ascii="Arial" w:hAnsi="Arial" w:cs="Arial"/>
          <w:sz w:val="20"/>
        </w:rPr>
        <w:t xml:space="preserve">The following questions </w:t>
      </w:r>
      <w:r w:rsidR="00496BD0">
        <w:rPr>
          <w:rFonts w:ascii="Arial" w:hAnsi="Arial" w:cs="Arial"/>
          <w:sz w:val="20"/>
        </w:rPr>
        <w:t>or</w:t>
      </w:r>
      <w:r w:rsidRPr="00D76DBD">
        <w:rPr>
          <w:rFonts w:ascii="Arial" w:hAnsi="Arial" w:cs="Arial"/>
          <w:sz w:val="20"/>
        </w:rPr>
        <w:t xml:space="preserve"> checklist may help you to consider the risks </w:t>
      </w:r>
      <w:r w:rsidR="00D7269F">
        <w:rPr>
          <w:rFonts w:ascii="Arial" w:hAnsi="Arial" w:cs="Arial"/>
          <w:sz w:val="20"/>
        </w:rPr>
        <w:t>for</w:t>
      </w:r>
      <w:r w:rsidRPr="00D76DBD">
        <w:rPr>
          <w:rFonts w:ascii="Arial" w:hAnsi="Arial" w:cs="Arial"/>
          <w:sz w:val="20"/>
        </w:rPr>
        <w:t xml:space="preserve"> your new idea or activity</w:t>
      </w:r>
      <w:r w:rsidR="00686922" w:rsidRPr="00D76DBD">
        <w:rPr>
          <w:rFonts w:ascii="Arial" w:hAnsi="Arial" w:cs="Arial"/>
          <w:sz w:val="20"/>
        </w:rPr>
        <w:t xml:space="preserve"> before, during and after commencement of the activity</w:t>
      </w:r>
      <w:r w:rsidRPr="00D76DBD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559"/>
      </w:tblGrid>
      <w:tr w:rsidR="00D76DBD" w:rsidRPr="00FB4FAD" w14:paraId="6E7DA47A" w14:textId="77777777" w:rsidTr="00D76DBD">
        <w:trPr>
          <w:trHeight w:val="274"/>
        </w:trPr>
        <w:tc>
          <w:tcPr>
            <w:tcW w:w="8789" w:type="dxa"/>
            <w:shd w:val="clear" w:color="auto" w:fill="C8BAE8"/>
          </w:tcPr>
          <w:p w14:paraId="1336672E" w14:textId="0057BC92" w:rsidR="00D76DBD" w:rsidRPr="00FB4FAD" w:rsidRDefault="00D7269F" w:rsidP="00445AC6">
            <w:pPr>
              <w:adjustRightInd w:val="0"/>
              <w:snapToGrid w:val="0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5AC5"/>
                <w:sz w:val="20"/>
                <w:szCs w:val="20"/>
              </w:rPr>
              <w:t>Risk checklist considerations:</w:t>
            </w:r>
          </w:p>
        </w:tc>
        <w:tc>
          <w:tcPr>
            <w:tcW w:w="1559" w:type="dxa"/>
            <w:shd w:val="clear" w:color="auto" w:fill="C8BAE8"/>
          </w:tcPr>
          <w:p w14:paraId="13D1B0F0" w14:textId="3280B654" w:rsidR="00D76DBD" w:rsidRPr="00FB4FAD" w:rsidRDefault="00D76DBD" w:rsidP="00D76DB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B4FAD">
              <w:rPr>
                <w:rFonts w:ascii="Arial" w:hAnsi="Arial" w:cs="Arial"/>
                <w:b/>
                <w:color w:val="705AC5"/>
                <w:sz w:val="20"/>
                <w:szCs w:val="20"/>
              </w:rPr>
              <w:t>Yes/No</w:t>
            </w:r>
          </w:p>
        </w:tc>
      </w:tr>
      <w:tr w:rsidR="00A034F6" w:rsidRPr="00FB4FAD" w14:paraId="3340D102" w14:textId="77777777" w:rsidTr="00A277CA">
        <w:tc>
          <w:tcPr>
            <w:tcW w:w="10348" w:type="dxa"/>
            <w:gridSpan w:val="2"/>
          </w:tcPr>
          <w:p w14:paraId="6D64132F" w14:textId="16512750" w:rsidR="00A034F6" w:rsidRPr="00FB4FAD" w:rsidRDefault="00A034F6" w:rsidP="00A034F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b/>
                <w:sz w:val="20"/>
                <w:szCs w:val="20"/>
              </w:rPr>
              <w:t>Operational</w:t>
            </w:r>
          </w:p>
        </w:tc>
      </w:tr>
      <w:tr w:rsidR="00FB4FAD" w:rsidRPr="00FB4FAD" w14:paraId="676CCC86" w14:textId="77777777" w:rsidTr="00D76DBD">
        <w:tc>
          <w:tcPr>
            <w:tcW w:w="8789" w:type="dxa"/>
          </w:tcPr>
          <w:p w14:paraId="589F18F6" w14:textId="5EA4AD23" w:rsidR="00FB4FAD" w:rsidRPr="00FB4FAD" w:rsidRDefault="00D7269F" w:rsidP="00FB4F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>perational risks of conducting this new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considered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35505F82" w14:textId="7C540BEA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AD" w:rsidRPr="00FB4FAD" w14:paraId="3034AB91" w14:textId="77777777" w:rsidTr="00D76DBD">
        <w:tc>
          <w:tcPr>
            <w:tcW w:w="8789" w:type="dxa"/>
          </w:tcPr>
          <w:p w14:paraId="157A91D7" w14:textId="4ED92D7F" w:rsidR="00FB4FAD" w:rsidRPr="00FB4FAD" w:rsidRDefault="00D7269F" w:rsidP="00FB4F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 xml:space="preserve">perational risks of </w:t>
            </w:r>
            <w:r w:rsidR="00FB4FAD" w:rsidRPr="00FB4FAD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 xml:space="preserve"> conducting this new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considered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1A39A326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AD" w:rsidRPr="00FB4FAD" w14:paraId="492E3AFD" w14:textId="77777777" w:rsidTr="00D76DBD">
        <w:tc>
          <w:tcPr>
            <w:tcW w:w="8789" w:type="dxa"/>
          </w:tcPr>
          <w:p w14:paraId="5B575CA0" w14:textId="1FBDB9FC" w:rsidR="00FB4FAD" w:rsidRPr="00FB4FAD" w:rsidRDefault="00FB4FAD" w:rsidP="00FB4F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Are there any legal reasons why the activity cannot go ahead? </w:t>
            </w:r>
            <w:proofErr w:type="gramStart"/>
            <w:r w:rsidRPr="00FB4FAD">
              <w:rPr>
                <w:rFonts w:ascii="Arial" w:hAnsi="Arial" w:cs="Arial"/>
                <w:sz w:val="20"/>
                <w:szCs w:val="20"/>
              </w:rPr>
              <w:t>i.e</w:t>
            </w:r>
            <w:proofErr w:type="gramEnd"/>
            <w:r w:rsidRPr="00FB4FAD">
              <w:rPr>
                <w:rFonts w:ascii="Arial" w:hAnsi="Arial" w:cs="Arial"/>
                <w:sz w:val="20"/>
                <w:szCs w:val="20"/>
              </w:rPr>
              <w:t>. is the activity legal?</w:t>
            </w:r>
          </w:p>
        </w:tc>
        <w:tc>
          <w:tcPr>
            <w:tcW w:w="1559" w:type="dxa"/>
          </w:tcPr>
          <w:p w14:paraId="41893E77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AD" w:rsidRPr="00FB4FAD" w14:paraId="423BE2F2" w14:textId="77777777" w:rsidTr="00D76DBD">
        <w:tc>
          <w:tcPr>
            <w:tcW w:w="8789" w:type="dxa"/>
          </w:tcPr>
          <w:p w14:paraId="5D4A568B" w14:textId="77777777" w:rsidR="00FB4FAD" w:rsidRPr="00FB4FAD" w:rsidRDefault="00FB4FAD" w:rsidP="00FB4F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E6F46E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4ED50D53" w14:textId="77777777" w:rsidTr="00980F8D">
        <w:tc>
          <w:tcPr>
            <w:tcW w:w="10348" w:type="dxa"/>
            <w:gridSpan w:val="2"/>
          </w:tcPr>
          <w:p w14:paraId="474C2284" w14:textId="54578705" w:rsidR="00A034F6" w:rsidRPr="00FB4FAD" w:rsidRDefault="00A034F6" w:rsidP="00A034F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b/>
                <w:sz w:val="20"/>
                <w:szCs w:val="20"/>
              </w:rPr>
              <w:t>Child or student safety</w:t>
            </w:r>
          </w:p>
        </w:tc>
      </w:tr>
      <w:tr w:rsidR="00FB4FAD" w:rsidRPr="00FB4FAD" w14:paraId="00A33338" w14:textId="77777777" w:rsidTr="00D76DBD">
        <w:tc>
          <w:tcPr>
            <w:tcW w:w="8789" w:type="dxa"/>
          </w:tcPr>
          <w:p w14:paraId="236968C6" w14:textId="456B8F4D" w:rsidR="00FB4FAD" w:rsidRPr="00FB4FAD" w:rsidRDefault="00D7269F" w:rsidP="00FB4FAD">
            <w:pPr>
              <w:adjustRightInd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>hild or student safety considerations for this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considered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1DE54C0C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AD" w:rsidRPr="00FB4FAD" w14:paraId="7C1A5764" w14:textId="77777777" w:rsidTr="00D76DBD">
        <w:tc>
          <w:tcPr>
            <w:tcW w:w="8789" w:type="dxa"/>
          </w:tcPr>
          <w:p w14:paraId="5130D9AF" w14:textId="15C2F950" w:rsidR="00FB4FAD" w:rsidRPr="00FB4FAD" w:rsidRDefault="00FB4FAD" w:rsidP="00E879EF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>Is there a risk of fail</w:t>
            </w:r>
            <w:r w:rsidR="00E879EF">
              <w:rPr>
                <w:rFonts w:ascii="Arial" w:hAnsi="Arial" w:cs="Arial"/>
                <w:sz w:val="20"/>
                <w:szCs w:val="20"/>
              </w:rPr>
              <w:t>ing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 to comply with legislative requirements for child protection resulting in a preventable risk, harm or death of a child?</w:t>
            </w:r>
          </w:p>
        </w:tc>
        <w:tc>
          <w:tcPr>
            <w:tcW w:w="1559" w:type="dxa"/>
          </w:tcPr>
          <w:p w14:paraId="5A1BEB2F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AD" w:rsidRPr="00FB4FAD" w14:paraId="7078A0FE" w14:textId="77777777" w:rsidTr="00D76DBD">
        <w:tc>
          <w:tcPr>
            <w:tcW w:w="8789" w:type="dxa"/>
          </w:tcPr>
          <w:p w14:paraId="7D407674" w14:textId="431D1CB7" w:rsidR="00FB4FAD" w:rsidRPr="00FB4FAD" w:rsidRDefault="00FB4FAD" w:rsidP="00BF388F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423EFB">
              <w:rPr>
                <w:rFonts w:ascii="Arial" w:hAnsi="Arial" w:cs="Arial"/>
                <w:sz w:val="20"/>
                <w:szCs w:val="20"/>
              </w:rPr>
              <w:t>strategies (</w:t>
            </w:r>
            <w:r w:rsidRPr="00FB4FAD">
              <w:rPr>
                <w:rFonts w:ascii="Arial" w:hAnsi="Arial" w:cs="Arial"/>
                <w:sz w:val="20"/>
                <w:szCs w:val="20"/>
              </w:rPr>
              <w:t>controls and actions</w:t>
            </w:r>
            <w:r w:rsidR="00423EFB">
              <w:rPr>
                <w:rFonts w:ascii="Arial" w:hAnsi="Arial" w:cs="Arial"/>
                <w:sz w:val="20"/>
                <w:szCs w:val="20"/>
              </w:rPr>
              <w:t>)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 be implemented to </w:t>
            </w:r>
            <w:r w:rsidR="00423EFB">
              <w:rPr>
                <w:rFonts w:ascii="Arial" w:hAnsi="Arial" w:cs="Arial"/>
                <w:sz w:val="20"/>
                <w:szCs w:val="20"/>
              </w:rPr>
              <w:t xml:space="preserve">reduce the </w:t>
            </w:r>
            <w:r w:rsidR="00BF388F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423EFB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BF388F">
              <w:rPr>
                <w:rFonts w:ascii="Arial" w:hAnsi="Arial" w:cs="Arial"/>
                <w:sz w:val="20"/>
                <w:szCs w:val="20"/>
              </w:rPr>
              <w:t>risk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 to children or students</w:t>
            </w:r>
            <w:r w:rsidR="00BF388F">
              <w:rPr>
                <w:rFonts w:ascii="Arial" w:hAnsi="Arial" w:cs="Arial"/>
                <w:sz w:val="20"/>
                <w:szCs w:val="20"/>
              </w:rPr>
              <w:t>’ safety</w:t>
            </w:r>
            <w:r w:rsidRPr="00FB4FA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2D0D40B8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AD" w:rsidRPr="00FB4FAD" w14:paraId="63427171" w14:textId="77777777" w:rsidTr="00D76DBD">
        <w:tc>
          <w:tcPr>
            <w:tcW w:w="8789" w:type="dxa"/>
          </w:tcPr>
          <w:p w14:paraId="309887E2" w14:textId="77777777" w:rsidR="00FB4FAD" w:rsidRPr="00FB4FAD" w:rsidRDefault="00FB4FAD" w:rsidP="00FB4F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A1ABA3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6F326553" w14:textId="77777777" w:rsidTr="00582DE9">
        <w:tc>
          <w:tcPr>
            <w:tcW w:w="10348" w:type="dxa"/>
            <w:gridSpan w:val="2"/>
          </w:tcPr>
          <w:p w14:paraId="46E8E1FC" w14:textId="0D314FA3" w:rsidR="00A034F6" w:rsidRPr="00FB4FAD" w:rsidRDefault="00A034F6" w:rsidP="00A034F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b/>
                <w:sz w:val="20"/>
                <w:szCs w:val="20"/>
              </w:rPr>
              <w:t>Workplace health and safety</w:t>
            </w:r>
          </w:p>
        </w:tc>
      </w:tr>
      <w:tr w:rsidR="00FB4FAD" w:rsidRPr="00FB4FAD" w14:paraId="37561AEA" w14:textId="77777777" w:rsidTr="00D76DBD">
        <w:tc>
          <w:tcPr>
            <w:tcW w:w="8789" w:type="dxa"/>
          </w:tcPr>
          <w:p w14:paraId="3CC02720" w14:textId="18B7AC56" w:rsidR="00FB4FAD" w:rsidRPr="00FB4FAD" w:rsidRDefault="00D7269F" w:rsidP="00D7269F">
            <w:pPr>
              <w:adjustRightInd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 xml:space="preserve">orkplace health and safety </w:t>
            </w:r>
            <w:r w:rsidR="00BF388F">
              <w:rPr>
                <w:rFonts w:ascii="Arial" w:hAnsi="Arial" w:cs="Arial"/>
                <w:sz w:val="20"/>
                <w:szCs w:val="20"/>
              </w:rPr>
              <w:t xml:space="preserve">(WHS)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>of this activity for departmental staff and the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considered</w:t>
            </w:r>
            <w:r w:rsidR="00FB4FAD" w:rsidRPr="00FB4FA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32A9CE24" w14:textId="77777777" w:rsidR="00FB4FAD" w:rsidRPr="00FB4FAD" w:rsidRDefault="00FB4FAD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0E62A985" w14:textId="77777777" w:rsidTr="001B4BE4">
        <w:trPr>
          <w:trHeight w:val="137"/>
        </w:trPr>
        <w:tc>
          <w:tcPr>
            <w:tcW w:w="8789" w:type="dxa"/>
            <w:tcBorders>
              <w:bottom w:val="dotted" w:sz="4" w:space="0" w:color="auto"/>
            </w:tcBorders>
          </w:tcPr>
          <w:p w14:paraId="1D2C1D05" w14:textId="4D622C66" w:rsidR="00A034F6" w:rsidRPr="00FB4FAD" w:rsidRDefault="00A034F6" w:rsidP="00FB4F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the activity result in:</w:t>
            </w:r>
          </w:p>
        </w:tc>
        <w:tc>
          <w:tcPr>
            <w:tcW w:w="1559" w:type="dxa"/>
          </w:tcPr>
          <w:p w14:paraId="406218EA" w14:textId="77777777" w:rsidR="00A034F6" w:rsidRPr="00FB4FAD" w:rsidRDefault="00A034F6" w:rsidP="00FB4FAD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53821D89" w14:textId="77777777" w:rsidTr="001B4BE4">
        <w:trPr>
          <w:trHeight w:val="227"/>
        </w:trPr>
        <w:tc>
          <w:tcPr>
            <w:tcW w:w="8789" w:type="dxa"/>
            <w:tcBorders>
              <w:top w:val="dotted" w:sz="4" w:space="0" w:color="auto"/>
              <w:bottom w:val="nil"/>
              <w:right w:val="nil"/>
            </w:tcBorders>
          </w:tcPr>
          <w:p w14:paraId="4575BBD6" w14:textId="77777777" w:rsidR="00A034F6" w:rsidRDefault="00A034F6" w:rsidP="00A034F6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physical or mental harm to staff, students and others</w:t>
            </w:r>
          </w:p>
          <w:p w14:paraId="57D9303C" w14:textId="77777777" w:rsidR="001B4BE4" w:rsidRDefault="001B4BE4" w:rsidP="00A034F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19A68256" w14:textId="5B514537" w:rsidR="001B4BE4" w:rsidRPr="00A034F6" w:rsidRDefault="001B4BE4" w:rsidP="00A03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3E2EBF0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1A938980" w14:textId="77777777" w:rsidTr="001B4BE4">
        <w:trPr>
          <w:trHeight w:val="216"/>
        </w:trPr>
        <w:tc>
          <w:tcPr>
            <w:tcW w:w="8789" w:type="dxa"/>
            <w:tcBorders>
              <w:top w:val="nil"/>
            </w:tcBorders>
          </w:tcPr>
          <w:p w14:paraId="1768E7A1" w14:textId="6CA8ED64" w:rsidR="001B4BE4" w:rsidRPr="00FB4FAD" w:rsidRDefault="00A034F6" w:rsidP="001B4BE4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>- adverse impact on school or workplace operations</w:t>
            </w:r>
          </w:p>
        </w:tc>
        <w:tc>
          <w:tcPr>
            <w:tcW w:w="1559" w:type="dxa"/>
          </w:tcPr>
          <w:p w14:paraId="2E8AB6CC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2253E422" w14:textId="77777777" w:rsidTr="00A034F6">
        <w:trPr>
          <w:trHeight w:val="274"/>
        </w:trPr>
        <w:tc>
          <w:tcPr>
            <w:tcW w:w="8789" w:type="dxa"/>
          </w:tcPr>
          <w:p w14:paraId="290EC1BA" w14:textId="26A1581F" w:rsidR="00A034F6" w:rsidRPr="00FB4FAD" w:rsidRDefault="00A034F6" w:rsidP="00A034F6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>- damage to DoE infrastructure and property</w:t>
            </w:r>
          </w:p>
        </w:tc>
        <w:tc>
          <w:tcPr>
            <w:tcW w:w="1559" w:type="dxa"/>
          </w:tcPr>
          <w:p w14:paraId="362AC853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1113700D" w14:textId="77777777" w:rsidTr="00A034F6">
        <w:trPr>
          <w:trHeight w:val="132"/>
        </w:trPr>
        <w:tc>
          <w:tcPr>
            <w:tcW w:w="8789" w:type="dxa"/>
          </w:tcPr>
          <w:p w14:paraId="0763A6E0" w14:textId="657E2A52" w:rsidR="00A034F6" w:rsidRPr="00FB4FAD" w:rsidRDefault="00A034F6" w:rsidP="00A034F6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>- damage to the natural environment</w:t>
            </w:r>
          </w:p>
        </w:tc>
        <w:tc>
          <w:tcPr>
            <w:tcW w:w="1559" w:type="dxa"/>
          </w:tcPr>
          <w:p w14:paraId="15058D89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699B2D79" w14:textId="77777777" w:rsidTr="00A034F6">
        <w:trPr>
          <w:trHeight w:val="192"/>
        </w:trPr>
        <w:tc>
          <w:tcPr>
            <w:tcW w:w="8789" w:type="dxa"/>
          </w:tcPr>
          <w:p w14:paraId="31BE6DCD" w14:textId="656CB007" w:rsidR="00A034F6" w:rsidRPr="00FB4FAD" w:rsidRDefault="00A034F6" w:rsidP="00A034F6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>- regulatory or other legal action against the Department or individual</w:t>
            </w:r>
          </w:p>
        </w:tc>
        <w:tc>
          <w:tcPr>
            <w:tcW w:w="1559" w:type="dxa"/>
          </w:tcPr>
          <w:p w14:paraId="71872B75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299013FC" w14:textId="77777777" w:rsidTr="00A034F6">
        <w:trPr>
          <w:trHeight w:val="207"/>
        </w:trPr>
        <w:tc>
          <w:tcPr>
            <w:tcW w:w="8789" w:type="dxa"/>
          </w:tcPr>
          <w:p w14:paraId="354F52D3" w14:textId="7430CD01" w:rsidR="00A034F6" w:rsidRPr="00FB4FAD" w:rsidRDefault="00A034F6" w:rsidP="00A034F6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>- reputational damage to the Department</w:t>
            </w:r>
          </w:p>
        </w:tc>
        <w:tc>
          <w:tcPr>
            <w:tcW w:w="1559" w:type="dxa"/>
          </w:tcPr>
          <w:p w14:paraId="3F292C2A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4E833396" w14:textId="77777777" w:rsidTr="00A034F6">
        <w:trPr>
          <w:trHeight w:val="207"/>
        </w:trPr>
        <w:tc>
          <w:tcPr>
            <w:tcW w:w="8789" w:type="dxa"/>
          </w:tcPr>
          <w:p w14:paraId="6F7F5CD3" w14:textId="2A195691" w:rsidR="00A034F6" w:rsidRPr="00FB4FAD" w:rsidRDefault="00A034F6" w:rsidP="00A034F6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financial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penalties or increased operational costs?</w:t>
            </w:r>
          </w:p>
        </w:tc>
        <w:tc>
          <w:tcPr>
            <w:tcW w:w="1559" w:type="dxa"/>
          </w:tcPr>
          <w:p w14:paraId="0419028B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693605C6" w14:textId="77777777" w:rsidTr="00ED01B7">
        <w:trPr>
          <w:trHeight w:val="206"/>
        </w:trPr>
        <w:tc>
          <w:tcPr>
            <w:tcW w:w="10348" w:type="dxa"/>
            <w:gridSpan w:val="2"/>
          </w:tcPr>
          <w:p w14:paraId="5E39C48C" w14:textId="1804DA74" w:rsidR="00A034F6" w:rsidRPr="00BF388F" w:rsidRDefault="00BF388F" w:rsidP="00BF388F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F388F">
              <w:rPr>
                <w:rFonts w:ascii="Arial" w:hAnsi="Arial" w:cs="Arial"/>
                <w:sz w:val="20"/>
                <w:szCs w:val="20"/>
              </w:rPr>
              <w:t xml:space="preserve">Can strategies (controls or actions) be implemented to reduce any potential </w:t>
            </w:r>
            <w:r>
              <w:rPr>
                <w:rFonts w:ascii="Arial" w:hAnsi="Arial" w:cs="Arial"/>
                <w:sz w:val="20"/>
                <w:szCs w:val="20"/>
              </w:rPr>
              <w:t>WHS</w:t>
            </w:r>
            <w:r w:rsidRPr="00BF388F">
              <w:rPr>
                <w:rFonts w:ascii="Arial" w:hAnsi="Arial" w:cs="Arial"/>
                <w:sz w:val="20"/>
                <w:szCs w:val="20"/>
              </w:rPr>
              <w:t xml:space="preserve"> risks?</w:t>
            </w:r>
          </w:p>
        </w:tc>
      </w:tr>
      <w:tr w:rsidR="00BF388F" w:rsidRPr="00FB4FAD" w14:paraId="1EB85E13" w14:textId="77777777" w:rsidTr="00ED01B7">
        <w:trPr>
          <w:trHeight w:val="206"/>
        </w:trPr>
        <w:tc>
          <w:tcPr>
            <w:tcW w:w="10348" w:type="dxa"/>
            <w:gridSpan w:val="2"/>
          </w:tcPr>
          <w:p w14:paraId="0915A71B" w14:textId="77777777" w:rsidR="00BF388F" w:rsidRPr="00FB4FAD" w:rsidRDefault="00BF388F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0A2F3887" w14:textId="77777777" w:rsidTr="00ED0EE6">
        <w:tc>
          <w:tcPr>
            <w:tcW w:w="10348" w:type="dxa"/>
            <w:gridSpan w:val="2"/>
          </w:tcPr>
          <w:p w14:paraId="0BFD298A" w14:textId="4A4A4168" w:rsidR="00A034F6" w:rsidRPr="00FB4FAD" w:rsidRDefault="00A034F6" w:rsidP="00A034F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b/>
                <w:sz w:val="20"/>
                <w:szCs w:val="20"/>
              </w:rPr>
              <w:t>Information security</w:t>
            </w:r>
          </w:p>
        </w:tc>
      </w:tr>
      <w:tr w:rsidR="00A034F6" w:rsidRPr="00FB4FAD" w14:paraId="2F9E9071" w14:textId="77777777" w:rsidTr="00A034F6">
        <w:trPr>
          <w:trHeight w:val="307"/>
        </w:trPr>
        <w:tc>
          <w:tcPr>
            <w:tcW w:w="8789" w:type="dxa"/>
          </w:tcPr>
          <w:p w14:paraId="59B78EAF" w14:textId="3AA34B57" w:rsidR="00A034F6" w:rsidRPr="00FB4FAD" w:rsidRDefault="00A034F6" w:rsidP="00A034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Could the activity lead to unauthorised access to and/or use of departmental data or information? </w:t>
            </w:r>
          </w:p>
        </w:tc>
        <w:tc>
          <w:tcPr>
            <w:tcW w:w="1559" w:type="dxa"/>
          </w:tcPr>
          <w:p w14:paraId="71E9C103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17064372" w14:textId="77777777" w:rsidTr="00D76DBD">
        <w:trPr>
          <w:trHeight w:val="306"/>
        </w:trPr>
        <w:tc>
          <w:tcPr>
            <w:tcW w:w="8789" w:type="dxa"/>
          </w:tcPr>
          <w:p w14:paraId="7E06434A" w14:textId="2D1567FA" w:rsidR="00A034F6" w:rsidRPr="00FB4FAD" w:rsidRDefault="00A034F6" w:rsidP="00423EFB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Could access </w:t>
            </w:r>
            <w:r w:rsidR="00423EFB">
              <w:rPr>
                <w:rFonts w:ascii="Arial" w:hAnsi="Arial" w:cs="Arial"/>
                <w:sz w:val="20"/>
                <w:szCs w:val="20"/>
              </w:rPr>
              <w:t xml:space="preserve">to departmental data or information </w:t>
            </w:r>
            <w:r w:rsidRPr="00FB4FAD">
              <w:rPr>
                <w:rFonts w:ascii="Arial" w:hAnsi="Arial" w:cs="Arial"/>
                <w:sz w:val="20"/>
                <w:szCs w:val="20"/>
              </w:rPr>
              <w:t>result in financial and/or reputational loss or privacy breaches for the department?</w:t>
            </w:r>
          </w:p>
        </w:tc>
        <w:tc>
          <w:tcPr>
            <w:tcW w:w="1559" w:type="dxa"/>
          </w:tcPr>
          <w:p w14:paraId="51507786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2112D2CA" w14:textId="77777777" w:rsidTr="00D76DBD">
        <w:tc>
          <w:tcPr>
            <w:tcW w:w="8789" w:type="dxa"/>
          </w:tcPr>
          <w:p w14:paraId="144447DF" w14:textId="4E14961C" w:rsidR="00A034F6" w:rsidRPr="00FB4FAD" w:rsidRDefault="00A034F6" w:rsidP="00423EFB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423EFB">
              <w:rPr>
                <w:rFonts w:ascii="Arial" w:hAnsi="Arial" w:cs="Arial"/>
                <w:sz w:val="20"/>
                <w:szCs w:val="20"/>
              </w:rPr>
              <w:t>strategies (controls or actions)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 be implemented to</w:t>
            </w:r>
            <w:r w:rsidR="00423EFB">
              <w:rPr>
                <w:rFonts w:ascii="Arial" w:hAnsi="Arial" w:cs="Arial"/>
                <w:sz w:val="20"/>
                <w:szCs w:val="20"/>
              </w:rPr>
              <w:t xml:space="preserve"> reduce any potential </w:t>
            </w:r>
            <w:r w:rsidRPr="00FB4FAD">
              <w:rPr>
                <w:rFonts w:ascii="Arial" w:hAnsi="Arial" w:cs="Arial"/>
                <w:sz w:val="20"/>
                <w:szCs w:val="20"/>
              </w:rPr>
              <w:t>information security</w:t>
            </w:r>
            <w:r w:rsidR="00423EFB">
              <w:rPr>
                <w:rFonts w:ascii="Arial" w:hAnsi="Arial" w:cs="Arial"/>
                <w:sz w:val="20"/>
                <w:szCs w:val="20"/>
              </w:rPr>
              <w:t xml:space="preserve"> risks</w:t>
            </w:r>
            <w:r w:rsidRPr="00FB4FA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1A85FB9F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124B5F0E" w14:textId="77777777" w:rsidTr="00FE2526">
        <w:tc>
          <w:tcPr>
            <w:tcW w:w="10348" w:type="dxa"/>
            <w:gridSpan w:val="2"/>
          </w:tcPr>
          <w:p w14:paraId="542B0AD5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397D270C" w14:textId="77777777" w:rsidTr="009057D8">
        <w:tc>
          <w:tcPr>
            <w:tcW w:w="10348" w:type="dxa"/>
            <w:gridSpan w:val="2"/>
          </w:tcPr>
          <w:p w14:paraId="56EF6832" w14:textId="4ED5916A" w:rsidR="00A034F6" w:rsidRPr="00FB4FAD" w:rsidRDefault="00A034F6" w:rsidP="00A034F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b/>
                <w:sz w:val="20"/>
                <w:szCs w:val="20"/>
              </w:rPr>
              <w:t>Fraud and corruption</w:t>
            </w:r>
          </w:p>
        </w:tc>
      </w:tr>
      <w:tr w:rsidR="00A034F6" w:rsidRPr="00FB4FAD" w14:paraId="112F86DE" w14:textId="77777777" w:rsidTr="00D76DBD">
        <w:tc>
          <w:tcPr>
            <w:tcW w:w="8789" w:type="dxa"/>
          </w:tcPr>
          <w:p w14:paraId="6F0AEB33" w14:textId="67559B42" w:rsidR="00A034F6" w:rsidRPr="00FB4FAD" w:rsidRDefault="00A034F6" w:rsidP="00A034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Will the activity adversely expose the department to fraud and corruption through misuse of data, information or access to systems? </w:t>
            </w:r>
          </w:p>
        </w:tc>
        <w:tc>
          <w:tcPr>
            <w:tcW w:w="1559" w:type="dxa"/>
          </w:tcPr>
          <w:p w14:paraId="10EDE324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757A5B31" w14:textId="77777777" w:rsidTr="00D76DBD">
        <w:tc>
          <w:tcPr>
            <w:tcW w:w="8789" w:type="dxa"/>
          </w:tcPr>
          <w:p w14:paraId="52C90CD3" w14:textId="1B36C937" w:rsidR="00A034F6" w:rsidRPr="00FB4FAD" w:rsidRDefault="00A034F6" w:rsidP="00423EFB">
            <w:pPr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423EFB">
              <w:rPr>
                <w:rFonts w:ascii="Arial" w:hAnsi="Arial" w:cs="Arial"/>
                <w:sz w:val="20"/>
                <w:szCs w:val="20"/>
              </w:rPr>
              <w:t>strategies (</w:t>
            </w:r>
            <w:r w:rsidRPr="00FB4FAD">
              <w:rPr>
                <w:rFonts w:ascii="Arial" w:hAnsi="Arial" w:cs="Arial"/>
                <w:sz w:val="20"/>
                <w:szCs w:val="20"/>
              </w:rPr>
              <w:t>control</w:t>
            </w:r>
            <w:r w:rsidR="00423EFB">
              <w:rPr>
                <w:rFonts w:ascii="Arial" w:hAnsi="Arial" w:cs="Arial"/>
                <w:sz w:val="20"/>
                <w:szCs w:val="20"/>
              </w:rPr>
              <w:t>s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 and actions</w:t>
            </w:r>
            <w:r w:rsidR="00423EFB">
              <w:rPr>
                <w:rFonts w:ascii="Arial" w:hAnsi="Arial" w:cs="Arial"/>
                <w:sz w:val="20"/>
                <w:szCs w:val="20"/>
              </w:rPr>
              <w:t>)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 be implemented to </w:t>
            </w:r>
            <w:r w:rsidR="00423EFB">
              <w:rPr>
                <w:rFonts w:ascii="Arial" w:hAnsi="Arial" w:cs="Arial"/>
                <w:sz w:val="20"/>
                <w:szCs w:val="20"/>
              </w:rPr>
              <w:t>reduce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EFB">
              <w:rPr>
                <w:rFonts w:ascii="Arial" w:hAnsi="Arial" w:cs="Arial"/>
                <w:sz w:val="20"/>
                <w:szCs w:val="20"/>
              </w:rPr>
              <w:t>any potential f</w:t>
            </w:r>
            <w:r w:rsidRPr="00FB4FAD">
              <w:rPr>
                <w:rFonts w:ascii="Arial" w:hAnsi="Arial" w:cs="Arial"/>
                <w:sz w:val="20"/>
                <w:szCs w:val="20"/>
              </w:rPr>
              <w:t>raud and corruption</w:t>
            </w:r>
            <w:r w:rsidR="00423EFB">
              <w:rPr>
                <w:rFonts w:ascii="Arial" w:hAnsi="Arial" w:cs="Arial"/>
                <w:sz w:val="20"/>
                <w:szCs w:val="20"/>
              </w:rPr>
              <w:t xml:space="preserve"> risks</w:t>
            </w:r>
            <w:r w:rsidRPr="00FB4FA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05FDD253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0A21A112" w14:textId="77777777" w:rsidTr="007F2484">
        <w:tc>
          <w:tcPr>
            <w:tcW w:w="10348" w:type="dxa"/>
            <w:gridSpan w:val="2"/>
          </w:tcPr>
          <w:p w14:paraId="48A8ADD5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F6" w:rsidRPr="00FB4FAD" w14:paraId="6FEA7D4A" w14:textId="77777777" w:rsidTr="002D4E80">
        <w:tc>
          <w:tcPr>
            <w:tcW w:w="10348" w:type="dxa"/>
            <w:gridSpan w:val="2"/>
          </w:tcPr>
          <w:p w14:paraId="0B4EFA71" w14:textId="517653C6" w:rsidR="00A034F6" w:rsidRPr="00FB4FAD" w:rsidRDefault="00A034F6" w:rsidP="00A034F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4FAD">
              <w:rPr>
                <w:rFonts w:ascii="Arial" w:hAnsi="Arial" w:cs="Arial"/>
                <w:b/>
                <w:sz w:val="20"/>
                <w:szCs w:val="20"/>
              </w:rPr>
              <w:t>Overall</w:t>
            </w:r>
          </w:p>
        </w:tc>
      </w:tr>
      <w:tr w:rsidR="00A034F6" w:rsidRPr="00FB4FAD" w14:paraId="7DA5C2DE" w14:textId="77777777" w:rsidTr="00D76DBD">
        <w:tc>
          <w:tcPr>
            <w:tcW w:w="8789" w:type="dxa"/>
          </w:tcPr>
          <w:p w14:paraId="45C899FA" w14:textId="43FD820C" w:rsidR="00A034F6" w:rsidRPr="00FB4FAD" w:rsidRDefault="00A034F6" w:rsidP="00976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FAD">
              <w:rPr>
                <w:rFonts w:ascii="Arial" w:hAnsi="Arial" w:cs="Arial"/>
                <w:sz w:val="20"/>
                <w:szCs w:val="20"/>
              </w:rPr>
              <w:t xml:space="preserve">Can the </w:t>
            </w:r>
            <w:hyperlink r:id="rId11" w:history="1">
              <w:r w:rsidRPr="00F5675C">
                <w:rPr>
                  <w:rStyle w:val="Hyperlink"/>
                  <w:rFonts w:ascii="Arial" w:hAnsi="Arial" w:cs="Arial"/>
                  <w:sz w:val="20"/>
                  <w:szCs w:val="20"/>
                </w:rPr>
                <w:t>Principal’s Risk Control Checklist</w:t>
              </w:r>
            </w:hyperlink>
            <w:r w:rsidR="00BF3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be applied to this activity to reduce </w:t>
            </w:r>
            <w:r w:rsidR="00D7269F">
              <w:rPr>
                <w:rFonts w:ascii="Arial" w:hAnsi="Arial" w:cs="Arial"/>
                <w:sz w:val="20"/>
                <w:szCs w:val="20"/>
              </w:rPr>
              <w:t xml:space="preserve">the likelihood or consequence of the </w:t>
            </w:r>
            <w:r w:rsidRPr="00FB4FAD">
              <w:rPr>
                <w:rFonts w:ascii="Arial" w:hAnsi="Arial" w:cs="Arial"/>
                <w:sz w:val="20"/>
                <w:szCs w:val="20"/>
              </w:rPr>
              <w:t>risk</w:t>
            </w:r>
            <w:r w:rsidR="00423EFB">
              <w:rPr>
                <w:rFonts w:ascii="Arial" w:hAnsi="Arial" w:cs="Arial"/>
                <w:sz w:val="20"/>
                <w:szCs w:val="20"/>
              </w:rPr>
              <w:t>s</w:t>
            </w:r>
            <w:r w:rsidR="00BF388F">
              <w:rPr>
                <w:rFonts w:ascii="Arial" w:hAnsi="Arial" w:cs="Arial"/>
                <w:sz w:val="20"/>
                <w:szCs w:val="20"/>
              </w:rPr>
              <w:t xml:space="preserve"> identified</w:t>
            </w:r>
            <w:r w:rsidRPr="00FB4FA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559" w:type="dxa"/>
          </w:tcPr>
          <w:p w14:paraId="3BC7DE3E" w14:textId="77777777" w:rsidR="00A034F6" w:rsidRPr="00FB4FAD" w:rsidRDefault="00A034F6" w:rsidP="00A034F6">
            <w:pPr>
              <w:pStyle w:val="ListParagraph"/>
              <w:adjustRightInd w:val="0"/>
              <w:snapToGrid w:val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0319F" w14:textId="77777777" w:rsidR="005D0044" w:rsidRDefault="005D0044" w:rsidP="005D0044"/>
    <w:sectPr w:rsidR="005D0044" w:rsidSect="001B4BE4">
      <w:headerReference w:type="default" r:id="rId12"/>
      <w:footerReference w:type="default" r:id="rId13"/>
      <w:pgSz w:w="11906" w:h="16838"/>
      <w:pgMar w:top="1440" w:right="707" w:bottom="1135" w:left="709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265D7" w14:textId="77777777" w:rsidR="00D76DBD" w:rsidRDefault="00D76DBD" w:rsidP="00D76DBD">
      <w:pPr>
        <w:spacing w:after="0" w:line="240" w:lineRule="auto"/>
      </w:pPr>
      <w:r>
        <w:separator/>
      </w:r>
    </w:p>
  </w:endnote>
  <w:endnote w:type="continuationSeparator" w:id="0">
    <w:p w14:paraId="2C4F486E" w14:textId="77777777" w:rsidR="00D76DBD" w:rsidRDefault="00D76DBD" w:rsidP="00D7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13E12" w14:textId="1F6030DB" w:rsidR="00D76DBD" w:rsidRDefault="001B4BE4" w:rsidP="00D76DBD">
    <w:pPr>
      <w:pStyle w:val="Footer"/>
      <w:tabs>
        <w:tab w:val="clear" w:pos="4513"/>
        <w:tab w:val="clear" w:pos="9026"/>
        <w:tab w:val="left" w:pos="1456"/>
      </w:tabs>
      <w:rPr>
        <w:rFonts w:ascii="Arial" w:hAnsi="Arial" w:cs="Arial"/>
        <w:b/>
        <w:sz w:val="18"/>
        <w:szCs w:val="18"/>
      </w:rPr>
    </w:pPr>
    <w:r w:rsidRPr="00042829">
      <w:rPr>
        <w:rFonts w:ascii="Arial" w:hAnsi="Arial" w:cs="Arial"/>
        <w:noProof/>
        <w:sz w:val="18"/>
        <w:szCs w:val="18"/>
        <w:lang w:eastAsia="zh-CN"/>
      </w:rPr>
      <w:drawing>
        <wp:anchor distT="0" distB="0" distL="114300" distR="114300" simplePos="0" relativeHeight="251662336" behindDoc="1" locked="0" layoutInCell="1" allowOverlap="1" wp14:anchorId="134E3952" wp14:editId="577F6BAE">
          <wp:simplePos x="0" y="0"/>
          <wp:positionH relativeFrom="page">
            <wp:posOffset>0</wp:posOffset>
          </wp:positionH>
          <wp:positionV relativeFrom="paragraph">
            <wp:posOffset>186055</wp:posOffset>
          </wp:positionV>
          <wp:extent cx="7616915" cy="944129"/>
          <wp:effectExtent l="0" t="0" r="3175" b="889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15" cy="944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33BDF" w14:textId="24614DFF" w:rsidR="00D76DBD" w:rsidRPr="00042829" w:rsidRDefault="00D76DBD" w:rsidP="00BE1393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042829">
      <w:rPr>
        <w:rFonts w:ascii="Arial" w:hAnsi="Arial" w:cs="Arial"/>
        <w:b/>
        <w:sz w:val="18"/>
        <w:szCs w:val="18"/>
      </w:rPr>
      <w:t xml:space="preserve">Uncontrolled </w:t>
    </w:r>
    <w:r>
      <w:rPr>
        <w:rFonts w:ascii="Arial" w:hAnsi="Arial" w:cs="Arial"/>
        <w:b/>
        <w:sz w:val="18"/>
        <w:szCs w:val="18"/>
      </w:rPr>
      <w:t>c</w:t>
    </w:r>
    <w:r w:rsidRPr="00042829">
      <w:rPr>
        <w:rFonts w:ascii="Arial" w:hAnsi="Arial" w:cs="Arial"/>
        <w:b/>
        <w:sz w:val="18"/>
        <w:szCs w:val="18"/>
      </w:rPr>
      <w:t>opy</w:t>
    </w:r>
    <w:r w:rsidRPr="00042829">
      <w:rPr>
        <w:rFonts w:ascii="Arial" w:hAnsi="Arial" w:cs="Arial"/>
        <w:sz w:val="18"/>
        <w:szCs w:val="18"/>
      </w:rPr>
      <w:t>. Refer to the Department of Education Policy and Procedure Register at</w:t>
    </w:r>
    <w:r w:rsidR="00BE1393">
      <w:rPr>
        <w:rFonts w:ascii="Arial" w:hAnsi="Arial" w:cs="Arial"/>
        <w:sz w:val="18"/>
        <w:szCs w:val="18"/>
      </w:rPr>
      <w:t xml:space="preserve"> </w:t>
    </w:r>
    <w:r w:rsidR="00BE1393">
      <w:rPr>
        <w:rFonts w:ascii="Arial" w:hAnsi="Arial" w:cs="Arial"/>
        <w:sz w:val="18"/>
        <w:szCs w:val="18"/>
      </w:rPr>
      <w:br/>
    </w:r>
    <w:hyperlink r:id="rId2" w:history="1">
      <w:r w:rsidR="00420B95" w:rsidRPr="008C084E">
        <w:rPr>
          <w:rStyle w:val="Hyperlink"/>
          <w:rFonts w:ascii="Arial" w:hAnsi="Arial" w:cs="Arial"/>
          <w:sz w:val="18"/>
          <w:szCs w:val="18"/>
        </w:rPr>
        <w:t>https://ppr.qed.qld.gov.au/pp/enterprise-risk-management-procedure</w:t>
      </w:r>
    </w:hyperlink>
    <w:r w:rsidR="00420B95">
      <w:rPr>
        <w:rFonts w:ascii="Arial" w:hAnsi="Arial" w:cs="Arial"/>
        <w:sz w:val="18"/>
        <w:szCs w:val="18"/>
      </w:rPr>
      <w:t xml:space="preserve"> </w:t>
    </w:r>
    <w:r w:rsidR="00BE1393">
      <w:rPr>
        <w:rFonts w:ascii="Arial" w:hAnsi="Arial" w:cs="Arial"/>
        <w:sz w:val="18"/>
        <w:szCs w:val="18"/>
      </w:rPr>
      <w:t xml:space="preserve">to ensure you have the </w:t>
    </w:r>
    <w:r w:rsidRPr="00042829">
      <w:rPr>
        <w:rFonts w:ascii="Arial" w:hAnsi="Arial" w:cs="Arial"/>
        <w:sz w:val="18"/>
        <w:szCs w:val="18"/>
      </w:rPr>
      <w:t xml:space="preserve">most current version. </w:t>
    </w:r>
    <w:r w:rsidRPr="00042829">
      <w:rPr>
        <w:rFonts w:ascii="Arial" w:hAnsi="Arial" w:cs="Arial"/>
        <w:noProof/>
        <w:sz w:val="18"/>
        <w:szCs w:val="18"/>
        <w:lang w:eastAsia="zh-CN"/>
      </w:rPr>
      <w:drawing>
        <wp:anchor distT="0" distB="0" distL="114300" distR="114300" simplePos="0" relativeHeight="251661312" behindDoc="1" locked="0" layoutInCell="1" allowOverlap="1" wp14:anchorId="1BF30171" wp14:editId="548B0BF7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81" name="Picture 18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noProof/>
        <w:sz w:val="18"/>
        <w:szCs w:val="18"/>
        <w:lang w:eastAsia="zh-CN"/>
      </w:rPr>
      <w:drawing>
        <wp:anchor distT="0" distB="0" distL="114300" distR="114300" simplePos="0" relativeHeight="251660288" behindDoc="1" locked="0" layoutInCell="1" allowOverlap="1" wp14:anchorId="7556DA3E" wp14:editId="1FFF82B9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82" name="Picture 182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noProof/>
        <w:sz w:val="18"/>
        <w:szCs w:val="18"/>
        <w:lang w:eastAsia="zh-CN"/>
      </w:rPr>
      <w:drawing>
        <wp:anchor distT="0" distB="0" distL="114300" distR="114300" simplePos="0" relativeHeight="251659264" behindDoc="1" locked="0" layoutInCell="1" allowOverlap="1" wp14:anchorId="2846B2F9" wp14:editId="3B4CC40A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83" name="Picture 18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7227890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140853307"/>
            <w:docPartObj>
              <w:docPartGallery w:val="Page Numbers (Top of Page)"/>
              <w:docPartUnique/>
            </w:docPartObj>
          </w:sdtPr>
          <w:sdtEndPr/>
          <w:sdtContent>
            <w:r w:rsidR="00BE1393">
              <w:rPr>
                <w:rFonts w:ascii="Arial" w:hAnsi="Arial" w:cs="Arial"/>
                <w:sz w:val="18"/>
                <w:szCs w:val="18"/>
              </w:rPr>
              <w:br/>
            </w:r>
            <w:r w:rsidRPr="0004282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20B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428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20B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E4CCC80" w14:textId="1D715C80" w:rsidR="00D76DBD" w:rsidRDefault="00D76DBD" w:rsidP="00D76DBD">
    <w:pPr>
      <w:pStyle w:val="Footer"/>
    </w:pPr>
  </w:p>
  <w:p w14:paraId="77138CF3" w14:textId="77777777" w:rsidR="00D76DBD" w:rsidRDefault="00D76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87C5B" w14:textId="77777777" w:rsidR="00D76DBD" w:rsidRDefault="00D76DBD" w:rsidP="00D76DBD">
      <w:pPr>
        <w:spacing w:after="0" w:line="240" w:lineRule="auto"/>
      </w:pPr>
      <w:r>
        <w:separator/>
      </w:r>
    </w:p>
  </w:footnote>
  <w:footnote w:type="continuationSeparator" w:id="0">
    <w:p w14:paraId="78AFF8C1" w14:textId="77777777" w:rsidR="00D76DBD" w:rsidRDefault="00D76DBD" w:rsidP="00D7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8EF3" w14:textId="6CE76081" w:rsidR="00B13DA7" w:rsidRDefault="00B13DA7">
    <w:pPr>
      <w:pStyle w:val="Header"/>
    </w:pPr>
    <w:r w:rsidRPr="000C0119">
      <w:rPr>
        <w:noProof/>
        <w:lang w:eastAsia="zh-CN"/>
      </w:rPr>
      <w:drawing>
        <wp:anchor distT="0" distB="0" distL="114300" distR="114300" simplePos="0" relativeHeight="251664384" behindDoc="0" locked="0" layoutInCell="1" allowOverlap="1" wp14:anchorId="036E2D80" wp14:editId="1ED8007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442200" cy="1049482"/>
          <wp:effectExtent l="0" t="0" r="0" b="0"/>
          <wp:wrapNone/>
          <wp:docPr id="179" name="Picture 179" descr="\\corp.qed.qld.gov.au\DFSCoredata\6578_Strategy and Performance\SP_Shared\JMS\Jobs\32359\Header and footer graphics\SP A4 Page Portrait_Head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rp.qed.qld.gov.au\DFSCoredata\6578_Strategy and Performance\SP_Shared\JMS\Jobs\32359\Header and footer graphics\SP A4 Page Portrait_Header_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0" cy="10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C40"/>
    <w:multiLevelType w:val="hybridMultilevel"/>
    <w:tmpl w:val="8EF00A12"/>
    <w:lvl w:ilvl="0" w:tplc="B53069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E42"/>
    <w:multiLevelType w:val="hybridMultilevel"/>
    <w:tmpl w:val="E2403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59C"/>
    <w:multiLevelType w:val="hybridMultilevel"/>
    <w:tmpl w:val="65EC648A"/>
    <w:lvl w:ilvl="0" w:tplc="85B85B76">
      <w:start w:val="1"/>
      <w:numFmt w:val="decimal"/>
      <w:pStyle w:val="Heading2-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5FAF"/>
    <w:multiLevelType w:val="hybridMultilevel"/>
    <w:tmpl w:val="6188097E"/>
    <w:lvl w:ilvl="0" w:tplc="487AE41A">
      <w:start w:val="1"/>
      <w:numFmt w:val="bullet"/>
      <w:lvlText w:val="-"/>
      <w:lvlJc w:val="left"/>
      <w:pPr>
        <w:ind w:left="764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33EC34FF"/>
    <w:multiLevelType w:val="hybridMultilevel"/>
    <w:tmpl w:val="CACE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60FA"/>
    <w:multiLevelType w:val="hybridMultilevel"/>
    <w:tmpl w:val="493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543EB"/>
    <w:multiLevelType w:val="hybridMultilevel"/>
    <w:tmpl w:val="8688A0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07DB7"/>
    <w:multiLevelType w:val="hybridMultilevel"/>
    <w:tmpl w:val="3F5658E2"/>
    <w:lvl w:ilvl="0" w:tplc="AE6A8E44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77793F5B"/>
    <w:multiLevelType w:val="hybridMultilevel"/>
    <w:tmpl w:val="94F89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F2"/>
    <w:rsid w:val="00044DF8"/>
    <w:rsid w:val="00056522"/>
    <w:rsid w:val="000C20AD"/>
    <w:rsid w:val="00102F43"/>
    <w:rsid w:val="001B4BE4"/>
    <w:rsid w:val="002334B6"/>
    <w:rsid w:val="00273557"/>
    <w:rsid w:val="002766EC"/>
    <w:rsid w:val="002915EC"/>
    <w:rsid w:val="002F7F28"/>
    <w:rsid w:val="00311478"/>
    <w:rsid w:val="003362AA"/>
    <w:rsid w:val="0034517A"/>
    <w:rsid w:val="003C3852"/>
    <w:rsid w:val="003E6D0F"/>
    <w:rsid w:val="00407DD4"/>
    <w:rsid w:val="00420B95"/>
    <w:rsid w:val="00423EFB"/>
    <w:rsid w:val="004411C6"/>
    <w:rsid w:val="004825CC"/>
    <w:rsid w:val="00496BD0"/>
    <w:rsid w:val="0051440D"/>
    <w:rsid w:val="00527C8E"/>
    <w:rsid w:val="00594DDC"/>
    <w:rsid w:val="005C4776"/>
    <w:rsid w:val="005D0044"/>
    <w:rsid w:val="005E73D1"/>
    <w:rsid w:val="00652DCC"/>
    <w:rsid w:val="00686922"/>
    <w:rsid w:val="006A1ADA"/>
    <w:rsid w:val="006D4F41"/>
    <w:rsid w:val="006F5010"/>
    <w:rsid w:val="006F67ED"/>
    <w:rsid w:val="0070259F"/>
    <w:rsid w:val="007B1473"/>
    <w:rsid w:val="00976A3A"/>
    <w:rsid w:val="00A034F6"/>
    <w:rsid w:val="00A36AF9"/>
    <w:rsid w:val="00A4476F"/>
    <w:rsid w:val="00B13DA7"/>
    <w:rsid w:val="00BE1393"/>
    <w:rsid w:val="00BF388F"/>
    <w:rsid w:val="00C077EE"/>
    <w:rsid w:val="00CC2DE7"/>
    <w:rsid w:val="00D43718"/>
    <w:rsid w:val="00D7269F"/>
    <w:rsid w:val="00D76DBD"/>
    <w:rsid w:val="00DC38F2"/>
    <w:rsid w:val="00E60569"/>
    <w:rsid w:val="00E67501"/>
    <w:rsid w:val="00E879EF"/>
    <w:rsid w:val="00EE1FDF"/>
    <w:rsid w:val="00F5675C"/>
    <w:rsid w:val="00F97E29"/>
    <w:rsid w:val="00FA4936"/>
    <w:rsid w:val="00FB4FAD"/>
    <w:rsid w:val="00F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C660F2"/>
  <w15:chartTrackingRefBased/>
  <w15:docId w15:val="{4FBC468F-EA1C-4AAD-9785-BE71D56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936"/>
    <w:pPr>
      <w:ind w:left="720"/>
      <w:contextualSpacing/>
    </w:pPr>
  </w:style>
  <w:style w:type="table" w:styleId="TableGrid">
    <w:name w:val="Table Grid"/>
    <w:basedOn w:val="TableNormal"/>
    <w:uiPriority w:val="59"/>
    <w:rsid w:val="005D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D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F8"/>
    <w:rPr>
      <w:rFonts w:ascii="Segoe UI" w:hAnsi="Segoe UI" w:cs="Segoe UI"/>
      <w:sz w:val="18"/>
      <w:szCs w:val="18"/>
    </w:rPr>
  </w:style>
  <w:style w:type="paragraph" w:customStyle="1" w:styleId="ISheading">
    <w:name w:val="IS heading"/>
    <w:basedOn w:val="Heading1"/>
    <w:link w:val="ISheadingChar"/>
    <w:qFormat/>
    <w:rsid w:val="00D76DBD"/>
    <w:pPr>
      <w:tabs>
        <w:tab w:val="left" w:pos="0"/>
      </w:tabs>
      <w:spacing w:line="240" w:lineRule="auto"/>
      <w:jc w:val="both"/>
    </w:pPr>
    <w:rPr>
      <w:rFonts w:ascii="Arial" w:hAnsi="Arial" w:cs="Arial"/>
      <w:b/>
      <w:color w:val="BF8F00" w:themeColor="accent4" w:themeShade="BF"/>
      <w:sz w:val="36"/>
      <w:lang w:val="en-US" w:eastAsia="en-US"/>
    </w:rPr>
  </w:style>
  <w:style w:type="character" w:customStyle="1" w:styleId="ISheadingChar">
    <w:name w:val="IS heading Char"/>
    <w:basedOn w:val="Heading1Char"/>
    <w:link w:val="ISheading"/>
    <w:rsid w:val="00D76DBD"/>
    <w:rPr>
      <w:rFonts w:ascii="Arial" w:eastAsiaTheme="majorEastAsia" w:hAnsi="Arial" w:cs="Arial"/>
      <w:b/>
      <w:color w:val="BF8F00" w:themeColor="accent4" w:themeShade="BF"/>
      <w:sz w:val="36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6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6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BD"/>
  </w:style>
  <w:style w:type="paragraph" w:styleId="Footer">
    <w:name w:val="footer"/>
    <w:basedOn w:val="Normal"/>
    <w:link w:val="FooterChar"/>
    <w:uiPriority w:val="99"/>
    <w:unhideWhenUsed/>
    <w:rsid w:val="00D76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BD"/>
  </w:style>
  <w:style w:type="character" w:styleId="Hyperlink">
    <w:name w:val="Hyperlink"/>
    <w:basedOn w:val="DefaultParagraphFont"/>
    <w:uiPriority w:val="99"/>
    <w:unhideWhenUsed/>
    <w:rsid w:val="00D76DBD"/>
    <w:rPr>
      <w:color w:val="0563C1" w:themeColor="hyperlink"/>
      <w:u w:val="single"/>
    </w:rPr>
  </w:style>
  <w:style w:type="paragraph" w:customStyle="1" w:styleId="Heading2-numbered">
    <w:name w:val="Heading 2 - numbered"/>
    <w:basedOn w:val="Heading2"/>
    <w:link w:val="Heading2-numberedChar"/>
    <w:qFormat/>
    <w:rsid w:val="00D76DBD"/>
    <w:pPr>
      <w:numPr>
        <w:numId w:val="6"/>
      </w:numPr>
      <w:spacing w:before="200" w:after="10" w:line="360" w:lineRule="auto"/>
    </w:pPr>
    <w:rPr>
      <w:rFonts w:ascii="Arial" w:hAnsi="Arial" w:cs="Arial"/>
      <w:b/>
      <w:color w:val="705AC5"/>
      <w:sz w:val="28"/>
      <w:lang w:val="en-US"/>
    </w:rPr>
  </w:style>
  <w:style w:type="character" w:customStyle="1" w:styleId="Heading2-numberedChar">
    <w:name w:val="Heading 2 - numbered Char"/>
    <w:basedOn w:val="Heading2Char"/>
    <w:link w:val="Heading2-numbered"/>
    <w:rsid w:val="00D76DBD"/>
    <w:rPr>
      <w:rFonts w:ascii="Arial" w:eastAsiaTheme="majorEastAsia" w:hAnsi="Arial" w:cs="Arial"/>
      <w:b/>
      <w:color w:val="705AC5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56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ranet.qed.qld.gov.au/Services/strategymanagement/GSP/EnterpriseRiskManagement/Documents/principals-risk-control-checklist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20/675595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2022-03-10T01:36:16+00:00</PPSubmittedDate>
    <PPRRiskcontrol xmlns="http://schemas.microsoft.com/sharepoint/v3">false</PPRRiskcontrol>
    <PPRHierarchyID xmlns="http://schemas.microsoft.com/sharepoint/v3">20/668317</PPRHierarchyID>
    <PPRBranch xmlns="http://schemas.microsoft.com/sharepoint/v3">Strategy and Performance</PPRBranch>
    <PPRDescription xmlns="http://schemas.microsoft.com/sharepoint/v3">Information sheet 5 – Ideas, innovation and risk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KINSELLA, Marie</DisplayName>
        <AccountId>36</AccountId>
        <AccountType/>
      </UserInfo>
    </PPSubmittedBy>
    <PPRNotes xmlns="http://schemas.microsoft.com/sharepoint/v3" xsi:nil="true"/>
    <PPRDivision xmlns="http://schemas.microsoft.com/sharepoint/v3">Policy, Performance and Planning</PPRDivision>
    <PPLastReviewedDate xmlns="16795be8-4374-4e44-895d-be6cdbab3e2c">2022-03-10T01:42:59+00:00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2022-03-10T01:42:58+00:00</PPModeratedDate>
    <PPRBusinessUnit xmlns="http://schemas.microsoft.com/sharepoint/v3">Performance, Improvement and Risk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2021-02-01T01:35:29+00:00</PPRHPRMUpdateDate>
    <PPRPrimaryCategory xmlns="16795be8-4374-4e44-895d-be6cdbab3e2c">12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marie.kinsella@qed.qld.gov.au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Nikki Tran,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Policy, Performance and Planning</PPRContentOwner>
    <PPRNominatedApprovers xmlns="http://schemas.microsoft.com/sharepoint/v3">Director;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31000:2009; assessing risk; EMB; Executive Management Board; ERM; ERMF; enterprise risk management framework; enterprise risk management policy; enterprise risk management procedure; governance and risk; managing risk; operational risk; program risk; project risk; risk action; risk appetite; risk assessment; risk control; risk management standard; risk reporting; risk assessment;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20/668316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0245EC0F-FB9B-4701-A537-D13A7D7E59D4}"/>
</file>

<file path=customXml/itemProps2.xml><?xml version="1.0" encoding="utf-8"?>
<ds:datastoreItem xmlns:ds="http://schemas.openxmlformats.org/officeDocument/2006/customXml" ds:itemID="{001B82EB-75D4-4225-A7A9-167F3EB959DD}"/>
</file>

<file path=customXml/itemProps3.xml><?xml version="1.0" encoding="utf-8"?>
<ds:datastoreItem xmlns:ds="http://schemas.openxmlformats.org/officeDocument/2006/customXml" ds:itemID="{B88383AF-CFCF-4377-AFCA-97B218B19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5 – Ideas, innovation and risk</dc:title>
  <dc:subject/>
  <dc:creator>GSP</dc:creator>
  <cp:keywords/>
  <dc:description/>
  <cp:lastModifiedBy>CAMERON, Simone</cp:lastModifiedBy>
  <cp:revision>3</cp:revision>
  <cp:lastPrinted>2019-10-03T05:46:00Z</cp:lastPrinted>
  <dcterms:created xsi:type="dcterms:W3CDTF">2021-02-01T01:16:00Z</dcterms:created>
  <dcterms:modified xsi:type="dcterms:W3CDTF">2021-02-01T01:35:00Z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24200</vt:r8>
  </property>
</Properties>
</file>