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40EC" w14:textId="3122DCF0" w:rsidR="001E510A" w:rsidRPr="0096272C" w:rsidRDefault="00DB69CF" w:rsidP="004F7AAD">
      <w:pPr>
        <w:rPr>
          <w:rFonts w:ascii="Arial" w:hAnsi="Arial" w:cs="Arial"/>
          <w:sz w:val="40"/>
          <w:szCs w:val="40"/>
        </w:rPr>
      </w:pPr>
      <w:r w:rsidRPr="0096272C">
        <w:rPr>
          <w:rFonts w:ascii="Arial" w:hAnsi="Arial" w:cs="Arial"/>
          <w:sz w:val="40"/>
          <w:szCs w:val="40"/>
        </w:rPr>
        <w:t>Teacher Housing</w:t>
      </w:r>
      <w:r w:rsidR="00954456">
        <w:rPr>
          <w:rFonts w:ascii="Arial" w:hAnsi="Arial" w:cs="Arial"/>
          <w:sz w:val="40"/>
          <w:szCs w:val="40"/>
        </w:rPr>
        <w:t xml:space="preserve"> - </w:t>
      </w:r>
      <w:r w:rsidRPr="0096272C">
        <w:rPr>
          <w:rFonts w:ascii="Arial" w:hAnsi="Arial" w:cs="Arial"/>
          <w:sz w:val="40"/>
          <w:szCs w:val="40"/>
        </w:rPr>
        <w:t xml:space="preserve">Overview for </w:t>
      </w:r>
      <w:r w:rsidR="002D5D80">
        <w:rPr>
          <w:rFonts w:ascii="Arial" w:hAnsi="Arial" w:cs="Arial"/>
          <w:sz w:val="40"/>
          <w:szCs w:val="40"/>
        </w:rPr>
        <w:t>i</w:t>
      </w:r>
      <w:r w:rsidRPr="0096272C">
        <w:rPr>
          <w:rFonts w:ascii="Arial" w:hAnsi="Arial" w:cs="Arial"/>
          <w:sz w:val="40"/>
          <w:szCs w:val="40"/>
        </w:rPr>
        <w:t>ncoming tenants</w:t>
      </w:r>
    </w:p>
    <w:p w14:paraId="278A8EF4" w14:textId="77777777" w:rsidR="00AF2C0C" w:rsidRPr="00DF3DE3" w:rsidRDefault="00AF2C0C" w:rsidP="00AF2C0C">
      <w:pPr>
        <w:pStyle w:val="Heading1"/>
        <w:jc w:val="both"/>
      </w:pPr>
      <w:bookmarkStart w:id="0" w:name="_Toc121155820"/>
      <w:bookmarkStart w:id="1" w:name="_Toc121155814"/>
      <w:bookmarkStart w:id="2" w:name="_Toc67313010"/>
      <w:r w:rsidRPr="00DF3DE3">
        <w:t>Moving to a rural and remote location</w:t>
      </w:r>
      <w:bookmarkEnd w:id="0"/>
    </w:p>
    <w:p w14:paraId="099AEBCE" w14:textId="77777777" w:rsidR="00AF2C0C" w:rsidRPr="00DF3DE3" w:rsidRDefault="00AF2C0C" w:rsidP="00AF2C0C">
      <w:pPr>
        <w:jc w:val="both"/>
        <w:rPr>
          <w:rFonts w:ascii="Arial" w:hAnsi="Arial" w:cs="Arial"/>
        </w:rPr>
      </w:pPr>
      <w:r w:rsidRPr="00DF3DE3">
        <w:rPr>
          <w:rFonts w:ascii="Arial" w:hAnsi="Arial" w:cs="Arial"/>
        </w:rPr>
        <w:t xml:space="preserve">The department encourages teachers to get a sense of their new community before relocating. Having a chat with the </w:t>
      </w:r>
      <w:r w:rsidR="00AD49A2">
        <w:rPr>
          <w:rFonts w:ascii="Arial" w:hAnsi="Arial" w:cs="Arial"/>
        </w:rPr>
        <w:t>Local Accommodation Committee (LAC)</w:t>
      </w:r>
      <w:r w:rsidRPr="00DF3DE3">
        <w:rPr>
          <w:rFonts w:ascii="Arial" w:hAnsi="Arial" w:cs="Arial"/>
        </w:rPr>
        <w:t xml:space="preserve"> representative or principal will help you find out</w:t>
      </w:r>
      <w:r w:rsidR="00AD49A2">
        <w:rPr>
          <w:rFonts w:ascii="Arial" w:hAnsi="Arial" w:cs="Arial"/>
        </w:rPr>
        <w:t xml:space="preserve"> about</w:t>
      </w:r>
      <w:r w:rsidRPr="00DF3DE3">
        <w:rPr>
          <w:rFonts w:ascii="Arial" w:hAnsi="Arial" w:cs="Arial"/>
        </w:rPr>
        <w:t>:</w:t>
      </w:r>
    </w:p>
    <w:p w14:paraId="1754E40D" w14:textId="77777777" w:rsidR="00AF2C0C" w:rsidRPr="00DF3DE3" w:rsidRDefault="00AF2C0C" w:rsidP="00AF2C0C">
      <w:pPr>
        <w:numPr>
          <w:ilvl w:val="0"/>
          <w:numId w:val="4"/>
        </w:numPr>
        <w:jc w:val="both"/>
        <w:rPr>
          <w:rFonts w:ascii="Arial" w:hAnsi="Arial" w:cs="Arial"/>
        </w:rPr>
      </w:pPr>
      <w:r w:rsidRPr="00DF3DE3">
        <w:rPr>
          <w:rFonts w:ascii="Arial" w:hAnsi="Arial" w:cs="Arial"/>
        </w:rPr>
        <w:t>Specific community information;</w:t>
      </w:r>
    </w:p>
    <w:p w14:paraId="2EBD92A0" w14:textId="77777777" w:rsidR="00AF2C0C" w:rsidRPr="00DF3DE3" w:rsidRDefault="00AF2C0C" w:rsidP="004F7AAD">
      <w:pPr>
        <w:pStyle w:val="ListParagraph"/>
        <w:numPr>
          <w:ilvl w:val="0"/>
          <w:numId w:val="2"/>
        </w:numPr>
        <w:jc w:val="both"/>
        <w:rPr>
          <w:rFonts w:cs="Arial"/>
        </w:rPr>
      </w:pPr>
      <w:r w:rsidRPr="00DF3DE3">
        <w:rPr>
          <w:rFonts w:cs="Arial"/>
        </w:rPr>
        <w:t>Typical weather conditions for the location;</w:t>
      </w:r>
    </w:p>
    <w:p w14:paraId="39AEDE0A" w14:textId="77777777" w:rsidR="00AF2C0C" w:rsidRPr="00DF3DE3" w:rsidRDefault="00AF2C0C" w:rsidP="00AF2C0C">
      <w:pPr>
        <w:numPr>
          <w:ilvl w:val="0"/>
          <w:numId w:val="4"/>
        </w:numPr>
        <w:jc w:val="both"/>
        <w:rPr>
          <w:rFonts w:ascii="Arial" w:hAnsi="Arial" w:cs="Arial"/>
        </w:rPr>
      </w:pPr>
      <w:r w:rsidRPr="00DF3DE3">
        <w:rPr>
          <w:rFonts w:ascii="Arial" w:hAnsi="Arial" w:cs="Arial"/>
        </w:rPr>
        <w:t>If there are alcohol permits and/or restrictions within the community; and</w:t>
      </w:r>
    </w:p>
    <w:p w14:paraId="0488FE47" w14:textId="77777777" w:rsidR="00AF2C0C" w:rsidRPr="00DF3DE3" w:rsidRDefault="00AF2C0C" w:rsidP="004F7AAD">
      <w:pPr>
        <w:pStyle w:val="ListParagraph"/>
        <w:numPr>
          <w:ilvl w:val="0"/>
          <w:numId w:val="2"/>
        </w:numPr>
        <w:jc w:val="both"/>
        <w:rPr>
          <w:rFonts w:cs="Arial"/>
        </w:rPr>
      </w:pPr>
      <w:r w:rsidRPr="00DF3DE3">
        <w:rPr>
          <w:rFonts w:cs="Arial"/>
        </w:rPr>
        <w:t xml:space="preserve">Property availability and reasonable expectations. </w:t>
      </w:r>
    </w:p>
    <w:p w14:paraId="168F98B3" w14:textId="77777777" w:rsidR="00AF2C0C" w:rsidRPr="00DF3DE3" w:rsidRDefault="00AF2C0C" w:rsidP="00AF2C0C">
      <w:pPr>
        <w:jc w:val="both"/>
        <w:rPr>
          <w:rFonts w:ascii="Arial" w:hAnsi="Arial" w:cs="Arial"/>
        </w:rPr>
      </w:pPr>
      <w:r w:rsidRPr="00DF3DE3">
        <w:rPr>
          <w:rFonts w:ascii="Arial" w:hAnsi="Arial" w:cs="Arial"/>
        </w:rPr>
        <w:t>You should also consider how you might adjust to living in a rural or remote location without your usual routines and support networks close by.</w:t>
      </w:r>
    </w:p>
    <w:p w14:paraId="1DE1D9A1" w14:textId="77777777" w:rsidR="00AF2C0C" w:rsidRDefault="00AF2C0C" w:rsidP="00E30BDB">
      <w:pPr>
        <w:pStyle w:val="Heading1"/>
        <w:jc w:val="both"/>
      </w:pPr>
      <w:r>
        <w:t>Teacher housing eligibility</w:t>
      </w:r>
    </w:p>
    <w:p w14:paraId="7C66BDB7" w14:textId="77777777" w:rsidR="00AF2C0C" w:rsidRPr="00DF3DE3" w:rsidRDefault="00AF2C0C" w:rsidP="00AF2C0C">
      <w:pPr>
        <w:jc w:val="both"/>
        <w:rPr>
          <w:rFonts w:ascii="Arial" w:hAnsi="Arial" w:cs="Arial"/>
        </w:rPr>
      </w:pPr>
      <w:r w:rsidRPr="00DF3DE3">
        <w:rPr>
          <w:rFonts w:ascii="Arial" w:hAnsi="Arial" w:cs="Arial"/>
        </w:rPr>
        <w:t>Teacher housing is managed by the department through the:</w:t>
      </w:r>
    </w:p>
    <w:p w14:paraId="0C891995" w14:textId="1116BAE8" w:rsidR="00AF2C0C" w:rsidRPr="00DF3DE3" w:rsidRDefault="00231329" w:rsidP="00AF2C0C">
      <w:pPr>
        <w:pStyle w:val="ListParagraph"/>
        <w:numPr>
          <w:ilvl w:val="0"/>
          <w:numId w:val="2"/>
        </w:numPr>
        <w:jc w:val="both"/>
        <w:rPr>
          <w:rFonts w:cs="Arial"/>
        </w:rPr>
      </w:pPr>
      <w:hyperlink r:id="rId7" w:history="1">
        <w:r w:rsidR="00AF2C0C" w:rsidRPr="00DF3DE3">
          <w:rPr>
            <w:rStyle w:val="Hyperlink"/>
            <w:rFonts w:cs="Arial"/>
          </w:rPr>
          <w:t>Teacher housing policy</w:t>
        </w:r>
      </w:hyperlink>
      <w:r w:rsidR="00AF2C0C" w:rsidRPr="00DF3DE3">
        <w:rPr>
          <w:rFonts w:cs="Arial"/>
        </w:rPr>
        <w:t>; and</w:t>
      </w:r>
    </w:p>
    <w:p w14:paraId="02A7259A" w14:textId="77777777" w:rsidR="00AF2C0C" w:rsidRPr="00DF3DE3" w:rsidRDefault="00231329" w:rsidP="00AF2C0C">
      <w:pPr>
        <w:pStyle w:val="ListParagraph"/>
        <w:numPr>
          <w:ilvl w:val="0"/>
          <w:numId w:val="2"/>
        </w:numPr>
        <w:jc w:val="both"/>
        <w:rPr>
          <w:rFonts w:cs="Arial"/>
        </w:rPr>
      </w:pPr>
      <w:hyperlink r:id="rId8" w:history="1">
        <w:r w:rsidR="00AF2C0C" w:rsidRPr="00DF3DE3">
          <w:rPr>
            <w:rStyle w:val="Hyperlink"/>
            <w:rFonts w:cs="Arial"/>
          </w:rPr>
          <w:t>Teacher housing procedure</w:t>
        </w:r>
      </w:hyperlink>
      <w:r w:rsidR="00AF2C0C" w:rsidRPr="00DF3DE3">
        <w:rPr>
          <w:rFonts w:cs="Arial"/>
        </w:rPr>
        <w:t>.</w:t>
      </w:r>
    </w:p>
    <w:p w14:paraId="615A2876" w14:textId="77777777" w:rsidR="00225DFE" w:rsidRPr="00DF3DE3" w:rsidRDefault="00225DFE" w:rsidP="00AF2C0C">
      <w:pPr>
        <w:jc w:val="both"/>
        <w:rPr>
          <w:rFonts w:ascii="Arial" w:hAnsi="Arial" w:cs="Arial"/>
        </w:rPr>
      </w:pPr>
      <w:r w:rsidRPr="00DF3DE3">
        <w:rPr>
          <w:rFonts w:ascii="Arial" w:hAnsi="Arial" w:cs="Arial"/>
        </w:rPr>
        <w:t>The policy outlines eligibility criteria for teacher housing</w:t>
      </w:r>
      <w:r w:rsidR="00AD49A2">
        <w:rPr>
          <w:rFonts w:ascii="Arial" w:hAnsi="Arial" w:cs="Arial"/>
        </w:rPr>
        <w:t xml:space="preserve"> and</w:t>
      </w:r>
      <w:r w:rsidRPr="00DF3DE3">
        <w:rPr>
          <w:rFonts w:ascii="Arial" w:hAnsi="Arial" w:cs="Arial"/>
        </w:rPr>
        <w:t xml:space="preserve"> the procedure outlines the processes to implement the policy for all stakeholders including tenants. Eligibility may change during a tenancy for a number of </w:t>
      </w:r>
      <w:proofErr w:type="gramStart"/>
      <w:r w:rsidRPr="00DF3DE3">
        <w:rPr>
          <w:rFonts w:ascii="Arial" w:hAnsi="Arial" w:cs="Arial"/>
        </w:rPr>
        <w:t>reasons,</w:t>
      </w:r>
      <w:proofErr w:type="gramEnd"/>
      <w:r w:rsidRPr="00DF3DE3">
        <w:rPr>
          <w:rFonts w:ascii="Arial" w:hAnsi="Arial" w:cs="Arial"/>
        </w:rPr>
        <w:t xml:space="preserve"> </w:t>
      </w:r>
      <w:r w:rsidR="00AD49A2">
        <w:rPr>
          <w:rFonts w:ascii="Arial" w:hAnsi="Arial" w:cs="Arial"/>
        </w:rPr>
        <w:t xml:space="preserve">therefore </w:t>
      </w:r>
      <w:r w:rsidRPr="00DF3DE3">
        <w:rPr>
          <w:rFonts w:ascii="Arial" w:hAnsi="Arial" w:cs="Arial"/>
        </w:rPr>
        <w:t xml:space="preserve">it is important to be aware why this can happen and what outcomes this may have </w:t>
      </w:r>
      <w:r w:rsidR="00AD49A2">
        <w:rPr>
          <w:rFonts w:ascii="Arial" w:hAnsi="Arial" w:cs="Arial"/>
        </w:rPr>
        <w:t>for</w:t>
      </w:r>
      <w:r w:rsidRPr="00DF3DE3">
        <w:rPr>
          <w:rFonts w:ascii="Arial" w:hAnsi="Arial" w:cs="Arial"/>
        </w:rPr>
        <w:t xml:space="preserve"> a tenancy.</w:t>
      </w:r>
    </w:p>
    <w:p w14:paraId="5ACF1474" w14:textId="77777777" w:rsidR="00DF3DE3" w:rsidRPr="004F7AAD" w:rsidRDefault="00DF3DE3" w:rsidP="00AF2C0C">
      <w:pPr>
        <w:jc w:val="both"/>
        <w:rPr>
          <w:rFonts w:ascii="Arial" w:hAnsi="Arial" w:cs="Arial"/>
        </w:rPr>
      </w:pPr>
      <w:r w:rsidRPr="004F7AAD">
        <w:rPr>
          <w:rFonts w:ascii="Arial" w:hAnsi="Arial" w:cs="Arial"/>
        </w:rPr>
        <w:t xml:space="preserve">Eligibility for teacher housing is not linked to a particular residence. In order to make the best use of available housing in a particular location, and in order to provide housing best suited to the circumstances of all tenants, existing tenants may be </w:t>
      </w:r>
      <w:r w:rsidR="00AD49A2" w:rsidRPr="004F7AAD">
        <w:rPr>
          <w:rFonts w:ascii="Arial" w:hAnsi="Arial" w:cs="Arial"/>
        </w:rPr>
        <w:t>required</w:t>
      </w:r>
      <w:r w:rsidRPr="004F7AAD">
        <w:rPr>
          <w:rFonts w:ascii="Arial" w:hAnsi="Arial" w:cs="Arial"/>
        </w:rPr>
        <w:t xml:space="preserve"> to move to alternative accommodation</w:t>
      </w:r>
      <w:r w:rsidR="00AD49A2" w:rsidRPr="004F7AAD">
        <w:rPr>
          <w:rFonts w:ascii="Arial" w:hAnsi="Arial" w:cs="Arial"/>
        </w:rPr>
        <w:t xml:space="preserve"> in the same or a nearby location</w:t>
      </w:r>
      <w:r w:rsidRPr="004F7AAD">
        <w:rPr>
          <w:rFonts w:ascii="Arial" w:hAnsi="Arial" w:cs="Arial"/>
        </w:rPr>
        <w:t>.</w:t>
      </w:r>
    </w:p>
    <w:p w14:paraId="555091F6" w14:textId="218D4E99" w:rsidR="00225DFE" w:rsidRPr="00DF3DE3" w:rsidRDefault="00225DFE" w:rsidP="00AF2C0C">
      <w:pPr>
        <w:jc w:val="both"/>
        <w:rPr>
          <w:rFonts w:ascii="Arial" w:hAnsi="Arial" w:cs="Arial"/>
          <w:lang w:eastAsia="en-US"/>
        </w:rPr>
      </w:pPr>
      <w:r w:rsidRPr="00DF3DE3">
        <w:rPr>
          <w:rFonts w:ascii="Arial" w:hAnsi="Arial" w:cs="Arial"/>
          <w:lang w:eastAsia="en-US"/>
        </w:rPr>
        <w:t xml:space="preserve">Submitting a </w:t>
      </w:r>
      <w:r w:rsidR="00B2050B">
        <w:rPr>
          <w:rFonts w:ascii="Arial" w:hAnsi="Arial" w:cs="Arial"/>
          <w:lang w:eastAsia="en-US"/>
        </w:rPr>
        <w:t xml:space="preserve">completed </w:t>
      </w:r>
      <w:hyperlink r:id="rId9" w:history="1">
        <w:r w:rsidR="00B2050B" w:rsidRPr="00B2050B">
          <w:rPr>
            <w:rStyle w:val="Hyperlink"/>
            <w:rFonts w:ascii="Arial" w:hAnsi="Arial" w:cs="Arial"/>
          </w:rPr>
          <w:t>Teacher Housing Application form</w:t>
        </w:r>
      </w:hyperlink>
      <w:r w:rsidR="00B2050B" w:rsidRPr="00B2050B">
        <w:rPr>
          <w:rFonts w:ascii="Arial" w:hAnsi="Arial" w:cs="Arial"/>
        </w:rPr>
        <w:t xml:space="preserve"> </w:t>
      </w:r>
      <w:r w:rsidRPr="00B2050B">
        <w:rPr>
          <w:rFonts w:ascii="Arial" w:hAnsi="Arial" w:cs="Arial"/>
        </w:rPr>
        <w:t>t</w:t>
      </w:r>
      <w:r w:rsidRPr="00DF3DE3">
        <w:rPr>
          <w:rFonts w:ascii="Arial" w:hAnsi="Arial" w:cs="Arial"/>
        </w:rPr>
        <w:t xml:space="preserve">o the </w:t>
      </w:r>
      <w:proofErr w:type="gramStart"/>
      <w:r w:rsidRPr="00DF3DE3">
        <w:rPr>
          <w:rFonts w:ascii="Arial" w:hAnsi="Arial" w:cs="Arial"/>
        </w:rPr>
        <w:t>Principal</w:t>
      </w:r>
      <w:proofErr w:type="gramEnd"/>
      <w:r w:rsidRPr="00DF3DE3">
        <w:rPr>
          <w:rFonts w:ascii="Arial" w:hAnsi="Arial" w:cs="Arial"/>
        </w:rPr>
        <w:t xml:space="preserve"> of the school you </w:t>
      </w:r>
      <w:r w:rsidR="00DF3DE3">
        <w:rPr>
          <w:rFonts w:ascii="Arial" w:hAnsi="Arial" w:cs="Arial"/>
        </w:rPr>
        <w:t>will be working at or the Human Resources officer you are communicating with</w:t>
      </w:r>
      <w:r w:rsidRPr="00DF3DE3">
        <w:rPr>
          <w:rFonts w:ascii="Arial" w:hAnsi="Arial" w:cs="Arial"/>
        </w:rPr>
        <w:t>, start</w:t>
      </w:r>
      <w:r w:rsidR="00DF3DE3">
        <w:rPr>
          <w:rFonts w:ascii="Arial" w:hAnsi="Arial" w:cs="Arial"/>
        </w:rPr>
        <w:t>s</w:t>
      </w:r>
      <w:r w:rsidRPr="00DF3DE3">
        <w:rPr>
          <w:rFonts w:ascii="Arial" w:hAnsi="Arial" w:cs="Arial"/>
        </w:rPr>
        <w:t xml:space="preserve"> the process </w:t>
      </w:r>
      <w:r w:rsidR="00B2050B">
        <w:rPr>
          <w:rFonts w:ascii="Arial" w:hAnsi="Arial" w:cs="Arial"/>
        </w:rPr>
        <w:t>to assess and determine</w:t>
      </w:r>
      <w:r w:rsidRPr="00DF3DE3">
        <w:rPr>
          <w:rFonts w:ascii="Arial" w:hAnsi="Arial" w:cs="Arial"/>
        </w:rPr>
        <w:t xml:space="preserve"> eligibility. When confirmed as eligible, allocation </w:t>
      </w:r>
      <w:r w:rsidR="00B2050B">
        <w:rPr>
          <w:rFonts w:ascii="Arial" w:hAnsi="Arial" w:cs="Arial"/>
        </w:rPr>
        <w:t>of</w:t>
      </w:r>
      <w:r w:rsidRPr="00DF3DE3">
        <w:rPr>
          <w:rFonts w:ascii="Arial" w:hAnsi="Arial" w:cs="Arial"/>
        </w:rPr>
        <w:t xml:space="preserve"> accommodation and a tenancy process begins.</w:t>
      </w:r>
      <w:r w:rsidR="00B2050B">
        <w:rPr>
          <w:rFonts w:ascii="Arial" w:hAnsi="Arial" w:cs="Arial"/>
        </w:rPr>
        <w:t xml:space="preserve"> Housing is allocated to eligible teachers by the LAC as it becomes available.</w:t>
      </w:r>
    </w:p>
    <w:p w14:paraId="0EFC72D2" w14:textId="77777777" w:rsidR="00AF2C0C" w:rsidRPr="00305582" w:rsidRDefault="00E6223F" w:rsidP="00AF2C0C">
      <w:pPr>
        <w:pStyle w:val="Heading1"/>
        <w:jc w:val="both"/>
      </w:pPr>
      <w:r>
        <w:t>Tenancy Types</w:t>
      </w:r>
    </w:p>
    <w:p w14:paraId="05CD9DB6" w14:textId="77777777" w:rsidR="00225DFE" w:rsidRPr="00DF3DE3" w:rsidRDefault="00225DFE" w:rsidP="008E7C43">
      <w:pPr>
        <w:jc w:val="both"/>
        <w:rPr>
          <w:rFonts w:ascii="Arial" w:hAnsi="Arial" w:cs="Arial"/>
          <w:lang w:eastAsia="en-US"/>
        </w:rPr>
      </w:pPr>
      <w:r w:rsidRPr="00DF3DE3">
        <w:rPr>
          <w:rFonts w:ascii="Arial" w:hAnsi="Arial" w:cs="Arial"/>
          <w:lang w:eastAsia="en-US"/>
        </w:rPr>
        <w:t>Housing may be sourced a number of ways including Department owned stock (DoE) or department leased properties from:</w:t>
      </w:r>
    </w:p>
    <w:p w14:paraId="3C28042B" w14:textId="77777777" w:rsidR="00225DFE" w:rsidRPr="00DF3DE3" w:rsidRDefault="00225DFE" w:rsidP="008E7C43">
      <w:pPr>
        <w:numPr>
          <w:ilvl w:val="0"/>
          <w:numId w:val="4"/>
        </w:numPr>
        <w:jc w:val="both"/>
        <w:rPr>
          <w:rFonts w:ascii="Arial" w:hAnsi="Arial" w:cs="Arial"/>
        </w:rPr>
      </w:pPr>
      <w:r w:rsidRPr="00DF3DE3">
        <w:rPr>
          <w:rFonts w:ascii="Arial" w:hAnsi="Arial" w:cs="Arial"/>
        </w:rPr>
        <w:t>Government Employee Housing (GEH) as part of the Department of Energy and Public Works</w:t>
      </w:r>
    </w:p>
    <w:p w14:paraId="6634B02C" w14:textId="77777777" w:rsidR="00B2050B" w:rsidRDefault="00B2050B" w:rsidP="00B2050B">
      <w:pPr>
        <w:numPr>
          <w:ilvl w:val="0"/>
          <w:numId w:val="4"/>
        </w:numPr>
        <w:jc w:val="both"/>
        <w:rPr>
          <w:rFonts w:ascii="Arial" w:hAnsi="Arial" w:cs="Arial"/>
        </w:rPr>
      </w:pPr>
      <w:r w:rsidRPr="00DF3DE3">
        <w:rPr>
          <w:rFonts w:ascii="Arial" w:hAnsi="Arial" w:cs="Arial"/>
        </w:rPr>
        <w:t xml:space="preserve">Other government agencies (e.g. council housing stock) </w:t>
      </w:r>
    </w:p>
    <w:p w14:paraId="0E577DED" w14:textId="77777777" w:rsidR="00225DFE" w:rsidRPr="00DF3DE3" w:rsidRDefault="00225DFE" w:rsidP="008E7C43">
      <w:pPr>
        <w:numPr>
          <w:ilvl w:val="0"/>
          <w:numId w:val="4"/>
        </w:numPr>
        <w:jc w:val="both"/>
        <w:rPr>
          <w:rFonts w:ascii="Arial" w:hAnsi="Arial" w:cs="Arial"/>
        </w:rPr>
      </w:pPr>
      <w:r w:rsidRPr="00DF3DE3">
        <w:rPr>
          <w:rFonts w:ascii="Arial" w:hAnsi="Arial" w:cs="Arial"/>
        </w:rPr>
        <w:lastRenderedPageBreak/>
        <w:t>the Private rental market (some locations do not have one)</w:t>
      </w:r>
    </w:p>
    <w:p w14:paraId="4D869CD4" w14:textId="77777777" w:rsidR="00614AC5" w:rsidRPr="00DF3DE3" w:rsidRDefault="00614AC5" w:rsidP="00614AC5">
      <w:pPr>
        <w:jc w:val="both"/>
        <w:rPr>
          <w:rFonts w:ascii="Arial" w:hAnsi="Arial" w:cs="Arial"/>
        </w:rPr>
      </w:pPr>
      <w:bookmarkStart w:id="3" w:name="_Hlk122002320"/>
      <w:r>
        <w:rPr>
          <w:rFonts w:ascii="Arial" w:hAnsi="Arial" w:cs="Arial"/>
        </w:rPr>
        <w:t xml:space="preserve">A range of property types </w:t>
      </w:r>
      <w:r w:rsidR="0005631D">
        <w:rPr>
          <w:rFonts w:ascii="Arial" w:hAnsi="Arial" w:cs="Arial"/>
        </w:rPr>
        <w:t xml:space="preserve">may be available </w:t>
      </w:r>
      <w:r>
        <w:rPr>
          <w:rFonts w:ascii="Arial" w:hAnsi="Arial" w:cs="Arial"/>
        </w:rPr>
        <w:t>including houses, townhouses and units.</w:t>
      </w:r>
      <w:r w:rsidR="0005631D">
        <w:rPr>
          <w:rFonts w:ascii="Arial" w:hAnsi="Arial" w:cs="Arial"/>
        </w:rPr>
        <w:t xml:space="preserve"> </w:t>
      </w:r>
      <w:r w:rsidR="00D35C90">
        <w:rPr>
          <w:rFonts w:ascii="Arial" w:hAnsi="Arial" w:cs="Arial"/>
        </w:rPr>
        <w:t>Some</w:t>
      </w:r>
      <w:r w:rsidR="0005631D">
        <w:rPr>
          <w:rFonts w:ascii="Arial" w:hAnsi="Arial" w:cs="Arial"/>
        </w:rPr>
        <w:t xml:space="preserve"> locations may not have as many options. </w:t>
      </w:r>
    </w:p>
    <w:bookmarkEnd w:id="3"/>
    <w:p w14:paraId="403B3F8A" w14:textId="77777777" w:rsidR="00AF2C0C" w:rsidRPr="00DF3DE3" w:rsidRDefault="00AF2C0C" w:rsidP="008E7C43">
      <w:pPr>
        <w:jc w:val="both"/>
        <w:rPr>
          <w:rFonts w:ascii="Arial" w:hAnsi="Arial" w:cs="Arial"/>
          <w:lang w:eastAsia="en-US"/>
        </w:rPr>
      </w:pPr>
      <w:r w:rsidRPr="00DF3DE3">
        <w:rPr>
          <w:rFonts w:ascii="Arial" w:hAnsi="Arial" w:cs="Arial"/>
          <w:lang w:eastAsia="en-US"/>
        </w:rPr>
        <w:t>There are two types of tenancy offered by the department:</w:t>
      </w:r>
    </w:p>
    <w:p w14:paraId="3C0178C2" w14:textId="77777777" w:rsidR="00AF2C0C" w:rsidRPr="00DF3DE3" w:rsidRDefault="00AF2C0C" w:rsidP="008E7C43">
      <w:pPr>
        <w:pStyle w:val="ListParagraph"/>
        <w:numPr>
          <w:ilvl w:val="0"/>
          <w:numId w:val="3"/>
        </w:numPr>
        <w:ind w:left="357" w:hanging="357"/>
        <w:contextualSpacing w:val="0"/>
        <w:jc w:val="both"/>
        <w:rPr>
          <w:rFonts w:cs="Arial"/>
          <w:lang w:eastAsia="en-US"/>
        </w:rPr>
      </w:pPr>
      <w:r w:rsidRPr="00DF3DE3">
        <w:rPr>
          <w:rFonts w:cs="Arial"/>
          <w:b/>
          <w:lang w:eastAsia="en-US"/>
        </w:rPr>
        <w:t>Sole tenancy</w:t>
      </w:r>
      <w:r w:rsidRPr="00DF3DE3">
        <w:rPr>
          <w:rFonts w:cs="Arial"/>
          <w:lang w:eastAsia="en-US"/>
        </w:rPr>
        <w:t xml:space="preserve"> – offered to couples, families and principals and deputy principals; and</w:t>
      </w:r>
    </w:p>
    <w:p w14:paraId="1F828C56" w14:textId="77777777" w:rsidR="00AF2C0C" w:rsidRPr="00305582" w:rsidRDefault="00AF2C0C" w:rsidP="008E7C43">
      <w:pPr>
        <w:pStyle w:val="ListParagraph"/>
        <w:numPr>
          <w:ilvl w:val="0"/>
          <w:numId w:val="3"/>
        </w:numPr>
        <w:ind w:left="357" w:hanging="357"/>
        <w:contextualSpacing w:val="0"/>
        <w:jc w:val="both"/>
        <w:rPr>
          <w:lang w:eastAsia="en-US"/>
        </w:rPr>
      </w:pPr>
      <w:r w:rsidRPr="00305582">
        <w:rPr>
          <w:b/>
          <w:lang w:eastAsia="en-US"/>
        </w:rPr>
        <w:t>Multi</w:t>
      </w:r>
      <w:r>
        <w:rPr>
          <w:b/>
          <w:lang w:eastAsia="en-US"/>
        </w:rPr>
        <w:t>-</w:t>
      </w:r>
      <w:r w:rsidRPr="00305582">
        <w:rPr>
          <w:b/>
          <w:lang w:eastAsia="en-US"/>
        </w:rPr>
        <w:t>tenancy</w:t>
      </w:r>
      <w:r w:rsidRPr="00305582">
        <w:rPr>
          <w:lang w:eastAsia="en-US"/>
        </w:rPr>
        <w:t xml:space="preserve"> – offered to singles where the residence will be shared with others. </w:t>
      </w:r>
    </w:p>
    <w:p w14:paraId="6E4E7B42" w14:textId="77777777" w:rsidR="00AF2C0C" w:rsidRPr="00AF2C0C" w:rsidRDefault="00243C2E" w:rsidP="008E7C43">
      <w:pPr>
        <w:jc w:val="both"/>
        <w:rPr>
          <w:rFonts w:ascii="Arial" w:hAnsi="Arial" w:cs="Arial"/>
        </w:rPr>
      </w:pPr>
      <w:r>
        <w:rPr>
          <w:rFonts w:ascii="Arial" w:hAnsi="Arial" w:cs="Arial"/>
          <w:color w:val="333333"/>
          <w:shd w:val="clear" w:color="auto" w:fill="FFFFFF"/>
        </w:rPr>
        <w:t>Non-employee partners</w:t>
      </w:r>
      <w:r w:rsidR="00AF2C0C" w:rsidRPr="00AF2C0C">
        <w:rPr>
          <w:rFonts w:ascii="Arial" w:hAnsi="Arial" w:cs="Arial"/>
          <w:color w:val="333333"/>
          <w:shd w:val="clear" w:color="auto" w:fill="FFFFFF"/>
        </w:rPr>
        <w:t xml:space="preserve"> of the applicant will only be considered if it is intended that the accommodation provided will be their principal place of residence. Dependants will only be considered if they meet the Schedule of Dependants, as defined in the</w:t>
      </w:r>
      <w:r>
        <w:rPr>
          <w:rFonts w:ascii="Arial" w:hAnsi="Arial" w:cs="Arial"/>
          <w:color w:val="333333"/>
          <w:shd w:val="clear" w:color="auto" w:fill="FFFFFF"/>
        </w:rPr>
        <w:t xml:space="preserve"> </w:t>
      </w:r>
      <w:hyperlink r:id="rId10" w:history="1">
        <w:r w:rsidRPr="005A766C">
          <w:rPr>
            <w:rStyle w:val="Hyperlink"/>
            <w:rFonts w:ascii="Arial" w:hAnsi="Arial" w:cs="Arial"/>
            <w:shd w:val="clear" w:color="auto" w:fill="FFFFFF"/>
          </w:rPr>
          <w:t>Recognition of Rural and Remote Service (</w:t>
        </w:r>
        <w:proofErr w:type="spellStart"/>
        <w:r w:rsidRPr="005A766C">
          <w:rPr>
            <w:rStyle w:val="Hyperlink"/>
            <w:rFonts w:ascii="Arial" w:hAnsi="Arial" w:cs="Arial"/>
            <w:shd w:val="clear" w:color="auto" w:fill="FFFFFF"/>
          </w:rPr>
          <w:t>RoRRS</w:t>
        </w:r>
        <w:proofErr w:type="spellEnd"/>
        <w:r w:rsidRPr="005A766C">
          <w:rPr>
            <w:rStyle w:val="Hyperlink"/>
            <w:rFonts w:ascii="Arial" w:hAnsi="Arial" w:cs="Arial"/>
            <w:shd w:val="clear" w:color="auto" w:fill="FFFFFF"/>
          </w:rPr>
          <w:t>) scheme.</w:t>
        </w:r>
      </w:hyperlink>
      <w:r>
        <w:rPr>
          <w:rFonts w:ascii="Arial" w:hAnsi="Arial" w:cs="Arial"/>
          <w:color w:val="333333"/>
          <w:shd w:val="clear" w:color="auto" w:fill="FFFFFF"/>
        </w:rPr>
        <w:t xml:space="preserve"> </w:t>
      </w:r>
      <w:r w:rsidR="00AF2C0C" w:rsidRPr="00AF2C0C">
        <w:rPr>
          <w:rFonts w:ascii="Arial" w:hAnsi="Arial" w:cs="Arial"/>
          <w:color w:val="333333"/>
          <w:shd w:val="clear" w:color="auto" w:fill="FFFFFF"/>
        </w:rPr>
        <w:t> </w:t>
      </w:r>
    </w:p>
    <w:p w14:paraId="53DB7FC6" w14:textId="0D5BCE48" w:rsidR="00E6223F" w:rsidRDefault="00144055" w:rsidP="00E6223F">
      <w:pPr>
        <w:jc w:val="both"/>
        <w:rPr>
          <w:rFonts w:ascii="Arial" w:eastAsiaTheme="minorHAnsi" w:hAnsi="Arial" w:cs="Arial"/>
          <w:sz w:val="32"/>
          <w:szCs w:val="32"/>
          <w:lang w:eastAsia="en-AU"/>
        </w:rPr>
      </w:pPr>
      <w:r>
        <w:rPr>
          <w:rFonts w:ascii="Arial" w:eastAsiaTheme="minorHAnsi" w:hAnsi="Arial" w:cs="Arial"/>
          <w:sz w:val="32"/>
          <w:szCs w:val="32"/>
          <w:lang w:eastAsia="en-AU"/>
        </w:rPr>
        <w:t xml:space="preserve">How </w:t>
      </w:r>
      <w:r w:rsidR="00E65DD7">
        <w:rPr>
          <w:rFonts w:ascii="Arial" w:eastAsiaTheme="minorHAnsi" w:hAnsi="Arial" w:cs="Arial"/>
          <w:sz w:val="32"/>
          <w:szCs w:val="32"/>
          <w:lang w:eastAsia="en-AU"/>
        </w:rPr>
        <w:t>a</w:t>
      </w:r>
      <w:r>
        <w:rPr>
          <w:rFonts w:ascii="Arial" w:eastAsiaTheme="minorHAnsi" w:hAnsi="Arial" w:cs="Arial"/>
          <w:sz w:val="32"/>
          <w:szCs w:val="32"/>
          <w:lang w:eastAsia="en-AU"/>
        </w:rPr>
        <w:t>ccommodation is allocated</w:t>
      </w:r>
    </w:p>
    <w:p w14:paraId="26C19EE1" w14:textId="77777777" w:rsidR="00E6223F" w:rsidRPr="00225DFE" w:rsidRDefault="00E6223F" w:rsidP="00E6223F">
      <w:pPr>
        <w:jc w:val="both"/>
        <w:rPr>
          <w:rFonts w:ascii="Arial" w:eastAsiaTheme="minorHAnsi" w:hAnsi="Arial" w:cs="Arial"/>
          <w:lang w:eastAsia="en-AU"/>
        </w:rPr>
      </w:pPr>
      <w:r w:rsidRPr="00225DFE">
        <w:rPr>
          <w:rFonts w:ascii="Arial" w:eastAsiaTheme="minorHAnsi" w:hAnsi="Arial" w:cs="Arial"/>
          <w:lang w:eastAsia="en-AU"/>
        </w:rPr>
        <w:t>Teacher housing is managed at a local level to best meet the needs of tenants and the community. This allows flexibility when responding to local issues and contexts.</w:t>
      </w:r>
    </w:p>
    <w:p w14:paraId="6CF8F04F" w14:textId="77777777" w:rsidR="00E6223F" w:rsidRDefault="00E6223F" w:rsidP="00E6223F">
      <w:pPr>
        <w:jc w:val="both"/>
        <w:rPr>
          <w:rFonts w:ascii="Arial" w:hAnsi="Arial" w:cs="Arial"/>
        </w:rPr>
      </w:pPr>
      <w:r w:rsidRPr="00225DFE">
        <w:rPr>
          <w:rFonts w:ascii="Arial" w:eastAsiaTheme="minorHAnsi" w:hAnsi="Arial" w:cs="Arial"/>
          <w:lang w:eastAsia="en-AU"/>
        </w:rPr>
        <w:t xml:space="preserve">Local management of teacher housing is conducted through </w:t>
      </w:r>
      <w:r w:rsidR="00571A37">
        <w:rPr>
          <w:rFonts w:ascii="Arial" w:eastAsiaTheme="minorHAnsi" w:hAnsi="Arial" w:cs="Arial"/>
          <w:lang w:eastAsia="en-AU"/>
        </w:rPr>
        <w:t>an LAC</w:t>
      </w:r>
      <w:r w:rsidRPr="00225DFE">
        <w:rPr>
          <w:rFonts w:ascii="Arial" w:eastAsiaTheme="minorHAnsi" w:hAnsi="Arial" w:cs="Arial"/>
          <w:lang w:eastAsia="en-AU"/>
        </w:rPr>
        <w:t xml:space="preserve">. </w:t>
      </w:r>
      <w:r w:rsidRPr="00225DFE">
        <w:rPr>
          <w:rFonts w:ascii="Arial" w:hAnsi="Arial" w:cs="Arial"/>
        </w:rPr>
        <w:t xml:space="preserve">The LAC is a committee comprising of departmental school-based staff that manage teacher housing for the local area on behalf of the department. </w:t>
      </w:r>
    </w:p>
    <w:p w14:paraId="2527E6FC" w14:textId="77777777" w:rsidR="00E6223F" w:rsidRPr="00225DFE" w:rsidRDefault="00E6223F" w:rsidP="00E6223F">
      <w:pPr>
        <w:jc w:val="both"/>
        <w:rPr>
          <w:rFonts w:ascii="Arial" w:hAnsi="Arial" w:cs="Arial"/>
        </w:rPr>
      </w:pPr>
      <w:r w:rsidRPr="00225DFE">
        <w:rPr>
          <w:rFonts w:ascii="Arial" w:hAnsi="Arial" w:cs="Arial"/>
        </w:rPr>
        <w:t xml:space="preserve">This management includes, but is not limited to, allocating housing to eligible teachers, seeking to maximise use of housing stock to best meet the needs of existing and incoming eligible </w:t>
      </w:r>
      <w:r w:rsidR="00571A37">
        <w:rPr>
          <w:rFonts w:ascii="Arial" w:hAnsi="Arial" w:cs="Arial"/>
        </w:rPr>
        <w:t>tenants</w:t>
      </w:r>
      <w:r w:rsidRPr="00225DFE">
        <w:rPr>
          <w:rFonts w:ascii="Arial" w:hAnsi="Arial" w:cs="Arial"/>
        </w:rPr>
        <w:t>, conducting inspections, forwarding maintenance requests to the appropriate area and completing entry and exit condition reports.</w:t>
      </w:r>
    </w:p>
    <w:p w14:paraId="06D514C3" w14:textId="77777777" w:rsidR="00E6223F" w:rsidRPr="00225DFE" w:rsidRDefault="00E6223F" w:rsidP="00E6223F">
      <w:pPr>
        <w:jc w:val="both"/>
        <w:rPr>
          <w:rFonts w:ascii="Arial" w:eastAsiaTheme="minorHAnsi" w:hAnsi="Arial" w:cs="Arial"/>
          <w:lang w:eastAsia="en-AU"/>
        </w:rPr>
      </w:pPr>
      <w:r w:rsidRPr="00225DFE">
        <w:rPr>
          <w:rFonts w:ascii="Arial" w:eastAsiaTheme="minorHAnsi" w:hAnsi="Arial" w:cs="Arial"/>
          <w:lang w:eastAsia="en-AU"/>
        </w:rPr>
        <w:t xml:space="preserve">In areas where there is no LAC, the local management of teacher housing is the principal’s responsibility as the designated Local Accommodation Officer (LAO). </w:t>
      </w:r>
    </w:p>
    <w:p w14:paraId="378A2DB2" w14:textId="77777777" w:rsidR="00E6223F" w:rsidRDefault="00E6223F" w:rsidP="00E6223F">
      <w:pPr>
        <w:jc w:val="both"/>
        <w:rPr>
          <w:rFonts w:ascii="Arial" w:hAnsi="Arial" w:cs="Arial"/>
        </w:rPr>
      </w:pPr>
      <w:r w:rsidRPr="00DF3DE3">
        <w:rPr>
          <w:rFonts w:ascii="Arial" w:hAnsi="Arial" w:cs="Arial"/>
        </w:rPr>
        <w:t xml:space="preserve">The provision of teacher housing is for medium to long-term arrangements as </w:t>
      </w:r>
      <w:r>
        <w:rPr>
          <w:rFonts w:ascii="Arial" w:hAnsi="Arial" w:cs="Arial"/>
        </w:rPr>
        <w:t>a</w:t>
      </w:r>
      <w:r w:rsidRPr="00DF3DE3">
        <w:rPr>
          <w:rFonts w:ascii="Arial" w:hAnsi="Arial" w:cs="Arial"/>
        </w:rPr>
        <w:t xml:space="preserve"> primary place of residence. </w:t>
      </w:r>
    </w:p>
    <w:p w14:paraId="4B07C9A0" w14:textId="77777777" w:rsidR="00E6223F" w:rsidRDefault="00E6223F" w:rsidP="00E6223F">
      <w:pPr>
        <w:jc w:val="both"/>
        <w:rPr>
          <w:rFonts w:ascii="Arial" w:hAnsi="Arial" w:cs="Arial"/>
        </w:rPr>
      </w:pPr>
      <w:r>
        <w:rPr>
          <w:rFonts w:ascii="Arial" w:hAnsi="Arial" w:cs="Arial"/>
        </w:rPr>
        <w:t xml:space="preserve">In some cases, accommodation may not be available immediately for a variety of reasons. These reasons maybe </w:t>
      </w:r>
      <w:r w:rsidR="00571A37">
        <w:rPr>
          <w:rFonts w:ascii="Arial" w:hAnsi="Arial" w:cs="Arial"/>
        </w:rPr>
        <w:t>include, but are not limited to,</w:t>
      </w:r>
      <w:r>
        <w:rPr>
          <w:rFonts w:ascii="Arial" w:hAnsi="Arial" w:cs="Arial"/>
        </w:rPr>
        <w:t xml:space="preserve"> the movement of existing tenants in the location, repair works or </w:t>
      </w:r>
      <w:r w:rsidR="00571A37">
        <w:rPr>
          <w:rFonts w:ascii="Arial" w:hAnsi="Arial" w:cs="Arial"/>
        </w:rPr>
        <w:t xml:space="preserve">where </w:t>
      </w:r>
      <w:r>
        <w:rPr>
          <w:rFonts w:ascii="Arial" w:hAnsi="Arial" w:cs="Arial"/>
        </w:rPr>
        <w:t xml:space="preserve">an additional property has to be sourced and leased by the department to meet the changing tenancy requirements for that location. </w:t>
      </w:r>
    </w:p>
    <w:p w14:paraId="04CECF4D" w14:textId="77777777" w:rsidR="00E6223F" w:rsidRDefault="00571A37" w:rsidP="00E6223F">
      <w:pPr>
        <w:jc w:val="both"/>
        <w:rPr>
          <w:rFonts w:ascii="Arial" w:hAnsi="Arial" w:cs="Arial"/>
        </w:rPr>
      </w:pPr>
      <w:r>
        <w:rPr>
          <w:rFonts w:ascii="Arial" w:hAnsi="Arial" w:cs="Arial"/>
        </w:rPr>
        <w:t>Temporary</w:t>
      </w:r>
      <w:r w:rsidR="00E6223F">
        <w:rPr>
          <w:rFonts w:ascii="Arial" w:hAnsi="Arial" w:cs="Arial"/>
        </w:rPr>
        <w:t xml:space="preserve"> board and lodging </w:t>
      </w:r>
      <w:r>
        <w:rPr>
          <w:rFonts w:ascii="Arial" w:hAnsi="Arial" w:cs="Arial"/>
        </w:rPr>
        <w:t xml:space="preserve">(TBL) may be supported where housing is allocated to you but the ongoing tenancy does not commence immediately. Where TBL is </w:t>
      </w:r>
      <w:proofErr w:type="gramStart"/>
      <w:r>
        <w:rPr>
          <w:rFonts w:ascii="Arial" w:hAnsi="Arial" w:cs="Arial"/>
        </w:rPr>
        <w:t>approved</w:t>
      </w:r>
      <w:proofErr w:type="gramEnd"/>
      <w:r>
        <w:rPr>
          <w:rFonts w:ascii="Arial" w:hAnsi="Arial" w:cs="Arial"/>
        </w:rPr>
        <w:t xml:space="preserve"> you are required to pay for the accommodation up front then lodge an expenses claim for reimbursement</w:t>
      </w:r>
      <w:r w:rsidR="00E6223F">
        <w:rPr>
          <w:rFonts w:ascii="Arial" w:hAnsi="Arial" w:cs="Arial"/>
        </w:rPr>
        <w:t xml:space="preserve">. The </w:t>
      </w:r>
      <w:proofErr w:type="gramStart"/>
      <w:r w:rsidR="00E6223F" w:rsidRPr="00DF3DE3">
        <w:rPr>
          <w:rFonts w:ascii="Arial" w:hAnsi="Arial" w:cs="Arial"/>
        </w:rPr>
        <w:t>Principal</w:t>
      </w:r>
      <w:proofErr w:type="gramEnd"/>
      <w:r w:rsidR="00E6223F" w:rsidRPr="00DF3DE3">
        <w:rPr>
          <w:rFonts w:ascii="Arial" w:hAnsi="Arial" w:cs="Arial"/>
        </w:rPr>
        <w:t xml:space="preserve"> of the school you </w:t>
      </w:r>
      <w:r w:rsidR="00E6223F">
        <w:rPr>
          <w:rFonts w:ascii="Arial" w:hAnsi="Arial" w:cs="Arial"/>
        </w:rPr>
        <w:t>will be working at or the Human Resources officer you are communicating would be able to provide your advice applicable to your circumstances if this situation arises.</w:t>
      </w:r>
    </w:p>
    <w:p w14:paraId="0CF37E17" w14:textId="77777777" w:rsidR="00E6223F" w:rsidRPr="00756960" w:rsidRDefault="00E6223F" w:rsidP="00E6223F">
      <w:pPr>
        <w:jc w:val="both"/>
        <w:rPr>
          <w:rFonts w:ascii="Arial" w:eastAsiaTheme="minorHAnsi" w:hAnsi="Arial" w:cs="Arial"/>
          <w:sz w:val="32"/>
          <w:szCs w:val="32"/>
          <w:lang w:eastAsia="en-AU"/>
        </w:rPr>
      </w:pPr>
      <w:r w:rsidRPr="00756960">
        <w:rPr>
          <w:rFonts w:ascii="Arial" w:eastAsiaTheme="minorHAnsi" w:hAnsi="Arial" w:cs="Arial"/>
          <w:sz w:val="32"/>
          <w:szCs w:val="32"/>
          <w:lang w:eastAsia="en-AU"/>
        </w:rPr>
        <w:t>Bond</w:t>
      </w:r>
    </w:p>
    <w:p w14:paraId="7438E5E9" w14:textId="77777777" w:rsidR="00E6223F" w:rsidRPr="00756960" w:rsidRDefault="00E6223F" w:rsidP="00E6223F">
      <w:pPr>
        <w:jc w:val="both"/>
        <w:rPr>
          <w:rFonts w:ascii="Arial" w:eastAsiaTheme="minorHAnsi" w:hAnsi="Arial" w:cs="Arial"/>
          <w:lang w:eastAsia="en-AU"/>
        </w:rPr>
      </w:pPr>
      <w:r w:rsidRPr="00756960">
        <w:rPr>
          <w:rFonts w:ascii="Arial" w:eastAsiaTheme="minorHAnsi" w:hAnsi="Arial" w:cs="Arial"/>
          <w:lang w:eastAsia="en-AU"/>
        </w:rPr>
        <w:t xml:space="preserve">The department does not collect a bond from teachers occupying teacher housing. </w:t>
      </w:r>
    </w:p>
    <w:p w14:paraId="45D90644" w14:textId="77777777" w:rsidR="00E6223F" w:rsidRDefault="00E6223F" w:rsidP="00E6223F">
      <w:pPr>
        <w:jc w:val="both"/>
        <w:rPr>
          <w:rFonts w:ascii="Arial" w:eastAsiaTheme="minorHAnsi" w:hAnsi="Arial" w:cs="Arial"/>
          <w:lang w:eastAsia="en-AU"/>
        </w:rPr>
      </w:pPr>
      <w:bookmarkStart w:id="4" w:name="_Hlk125008685"/>
      <w:r w:rsidRPr="00756960">
        <w:rPr>
          <w:rFonts w:ascii="Arial" w:eastAsiaTheme="minorHAnsi" w:hAnsi="Arial" w:cs="Arial"/>
          <w:lang w:eastAsia="en-AU"/>
        </w:rPr>
        <w:t xml:space="preserve">In the absence of a bond, </w:t>
      </w:r>
      <w:r w:rsidR="00571A37">
        <w:rPr>
          <w:rFonts w:ascii="Arial" w:eastAsiaTheme="minorHAnsi" w:hAnsi="Arial" w:cs="Arial"/>
          <w:lang w:eastAsia="en-AU"/>
        </w:rPr>
        <w:t xml:space="preserve">the cost of </w:t>
      </w:r>
      <w:r w:rsidRPr="00756960">
        <w:rPr>
          <w:rFonts w:ascii="Arial" w:eastAsiaTheme="minorHAnsi" w:hAnsi="Arial" w:cs="Arial"/>
          <w:lang w:eastAsia="en-AU"/>
        </w:rPr>
        <w:t xml:space="preserve">any damages </w:t>
      </w:r>
      <w:r w:rsidR="00571A37">
        <w:rPr>
          <w:rFonts w:ascii="Arial" w:eastAsiaTheme="minorHAnsi" w:hAnsi="Arial" w:cs="Arial"/>
          <w:lang w:eastAsia="en-AU"/>
        </w:rPr>
        <w:t xml:space="preserve">caused </w:t>
      </w:r>
      <w:r w:rsidRPr="00756960">
        <w:rPr>
          <w:rFonts w:ascii="Arial" w:eastAsiaTheme="minorHAnsi" w:hAnsi="Arial" w:cs="Arial"/>
          <w:lang w:eastAsia="en-AU"/>
        </w:rPr>
        <w:t>by the tenant</w:t>
      </w:r>
      <w:r w:rsidR="00571A37">
        <w:rPr>
          <w:rFonts w:ascii="Arial" w:eastAsiaTheme="minorHAnsi" w:hAnsi="Arial" w:cs="Arial"/>
          <w:lang w:eastAsia="en-AU"/>
        </w:rPr>
        <w:t>, or their visitors,</w:t>
      </w:r>
      <w:r w:rsidRPr="00756960">
        <w:rPr>
          <w:rFonts w:ascii="Arial" w:eastAsiaTheme="minorHAnsi" w:hAnsi="Arial" w:cs="Arial"/>
          <w:lang w:eastAsia="en-AU"/>
        </w:rPr>
        <w:t xml:space="preserve"> are their </w:t>
      </w:r>
      <w:r w:rsidR="00571A37">
        <w:rPr>
          <w:rFonts w:ascii="Arial" w:eastAsiaTheme="minorHAnsi" w:hAnsi="Arial" w:cs="Arial"/>
          <w:lang w:eastAsia="en-AU"/>
        </w:rPr>
        <w:t>responsibility</w:t>
      </w:r>
      <w:r w:rsidR="00571A37" w:rsidRPr="007D2DDF">
        <w:rPr>
          <w:rFonts w:ascii="Arial" w:eastAsiaTheme="minorHAnsi" w:hAnsi="Arial" w:cs="Arial"/>
          <w:lang w:eastAsia="en-AU"/>
        </w:rPr>
        <w:t xml:space="preserve">. </w:t>
      </w:r>
      <w:r w:rsidR="007D2DDF" w:rsidRPr="007D2DDF">
        <w:rPr>
          <w:rFonts w:ascii="Arial" w:hAnsi="Arial" w:cs="Arial"/>
        </w:rPr>
        <w:t>Often this would be during the completion of an Exit condition report.</w:t>
      </w:r>
      <w:r w:rsidR="00707C67">
        <w:rPr>
          <w:rFonts w:ascii="Arial" w:hAnsi="Arial" w:cs="Arial"/>
        </w:rPr>
        <w:t xml:space="preserve"> </w:t>
      </w:r>
      <w:r w:rsidR="00571A37">
        <w:rPr>
          <w:rFonts w:ascii="Arial" w:eastAsiaTheme="minorHAnsi" w:hAnsi="Arial" w:cs="Arial"/>
          <w:lang w:eastAsia="en-AU"/>
        </w:rPr>
        <w:t>Payment ar</w:t>
      </w:r>
      <w:r w:rsidRPr="00756960">
        <w:rPr>
          <w:rFonts w:ascii="Arial" w:eastAsiaTheme="minorHAnsi" w:hAnsi="Arial" w:cs="Arial"/>
          <w:lang w:eastAsia="en-AU"/>
        </w:rPr>
        <w:t xml:space="preserve">rangements will be made between the tenant and the LAC/Principal at the time the damage is noted. </w:t>
      </w:r>
    </w:p>
    <w:p w14:paraId="31D24AD3" w14:textId="77777777" w:rsidR="00E6223F" w:rsidRPr="000E002E" w:rsidRDefault="00E6223F" w:rsidP="00E6223F">
      <w:pPr>
        <w:pStyle w:val="Heading1"/>
        <w:jc w:val="both"/>
        <w:rPr>
          <w:szCs w:val="32"/>
        </w:rPr>
      </w:pPr>
      <w:bookmarkStart w:id="5" w:name="_Toc122002609"/>
      <w:bookmarkEnd w:id="4"/>
      <w:r w:rsidRPr="000E002E">
        <w:rPr>
          <w:szCs w:val="32"/>
        </w:rPr>
        <w:lastRenderedPageBreak/>
        <w:t>Contents insurance</w:t>
      </w:r>
      <w:bookmarkEnd w:id="5"/>
    </w:p>
    <w:p w14:paraId="6B8D5E9C" w14:textId="77777777" w:rsidR="00E6223F" w:rsidRPr="000E002E" w:rsidRDefault="00E6223F" w:rsidP="00E6223F">
      <w:pPr>
        <w:overflowPunct w:val="0"/>
        <w:autoSpaceDE w:val="0"/>
        <w:autoSpaceDN w:val="0"/>
        <w:adjustRightInd w:val="0"/>
        <w:jc w:val="both"/>
        <w:textAlignment w:val="baseline"/>
        <w:rPr>
          <w:rFonts w:ascii="Arial" w:hAnsi="Arial" w:cs="Arial"/>
        </w:rPr>
      </w:pPr>
      <w:r w:rsidRPr="000E002E">
        <w:rPr>
          <w:rFonts w:ascii="Arial" w:hAnsi="Arial" w:cs="Arial"/>
        </w:rPr>
        <w:t>The department’s insurance does not cover tenant personal belongings.</w:t>
      </w:r>
    </w:p>
    <w:p w14:paraId="29737E56" w14:textId="77777777" w:rsidR="00E6223F" w:rsidRPr="000E002E" w:rsidRDefault="00E6223F" w:rsidP="00E6223F">
      <w:pPr>
        <w:overflowPunct w:val="0"/>
        <w:autoSpaceDE w:val="0"/>
        <w:autoSpaceDN w:val="0"/>
        <w:adjustRightInd w:val="0"/>
        <w:jc w:val="both"/>
        <w:textAlignment w:val="baseline"/>
        <w:rPr>
          <w:rFonts w:ascii="Arial" w:hAnsi="Arial" w:cs="Arial"/>
        </w:rPr>
      </w:pPr>
      <w:r w:rsidRPr="000E002E">
        <w:rPr>
          <w:rFonts w:ascii="Arial" w:hAnsi="Arial" w:cs="Arial"/>
        </w:rPr>
        <w:t>You are urged to take out personal content’s insurance</w:t>
      </w:r>
      <w:r w:rsidR="00571A37">
        <w:rPr>
          <w:rFonts w:ascii="Arial" w:hAnsi="Arial" w:cs="Arial"/>
        </w:rPr>
        <w:t xml:space="preserve"> prior to taking up residence</w:t>
      </w:r>
      <w:r w:rsidRPr="000E002E">
        <w:rPr>
          <w:rFonts w:ascii="Arial" w:hAnsi="Arial" w:cs="Arial"/>
        </w:rPr>
        <w:t xml:space="preserve">. Contents within the property </w:t>
      </w:r>
      <w:r w:rsidR="00571A37">
        <w:rPr>
          <w:rFonts w:ascii="Arial" w:hAnsi="Arial" w:cs="Arial"/>
        </w:rPr>
        <w:t>are</w:t>
      </w:r>
      <w:r w:rsidRPr="000E002E">
        <w:rPr>
          <w:rFonts w:ascii="Arial" w:hAnsi="Arial" w:cs="Arial"/>
        </w:rPr>
        <w:t xml:space="preserve"> your responsibility, so it is important to have an insurance policy in place to cover the </w:t>
      </w:r>
      <w:r w:rsidR="00571A37">
        <w:rPr>
          <w:rFonts w:ascii="Arial" w:hAnsi="Arial" w:cs="Arial"/>
        </w:rPr>
        <w:t xml:space="preserve">replacement </w:t>
      </w:r>
      <w:r w:rsidRPr="000E002E">
        <w:rPr>
          <w:rFonts w:ascii="Arial" w:hAnsi="Arial" w:cs="Arial"/>
        </w:rPr>
        <w:t xml:space="preserve">cost of any damaged or stolen personal items. </w:t>
      </w:r>
    </w:p>
    <w:p w14:paraId="4EC25FDD" w14:textId="77777777" w:rsidR="00DF3DE3" w:rsidRDefault="00DF3DE3" w:rsidP="008E7C43">
      <w:pPr>
        <w:pStyle w:val="Heading1"/>
        <w:jc w:val="both"/>
      </w:pPr>
      <w:r>
        <w:t>Rent</w:t>
      </w:r>
    </w:p>
    <w:p w14:paraId="11E48B16" w14:textId="77777777" w:rsidR="00DF3DE3" w:rsidRPr="00571A37" w:rsidRDefault="00571A37" w:rsidP="008E7C43">
      <w:pPr>
        <w:jc w:val="both"/>
        <w:rPr>
          <w:rFonts w:ascii="Arial" w:hAnsi="Arial" w:cs="Arial"/>
          <w:color w:val="333333"/>
          <w:shd w:val="clear" w:color="auto" w:fill="FFFFFF"/>
        </w:rPr>
      </w:pPr>
      <w:bookmarkStart w:id="6" w:name="_Hlk125008774"/>
      <w:r w:rsidRPr="00571A37">
        <w:rPr>
          <w:rFonts w:ascii="Arial" w:hAnsi="Arial" w:cs="Arial"/>
        </w:rPr>
        <w:t xml:space="preserve">The </w:t>
      </w:r>
      <w:hyperlink r:id="rId11" w:history="1">
        <w:r w:rsidRPr="004D7F0E">
          <w:rPr>
            <w:rStyle w:val="Hyperlink"/>
            <w:rFonts w:ascii="Arial" w:hAnsi="Arial" w:cs="Arial"/>
          </w:rPr>
          <w:t>Attraction and Retention Incentives Directive (07/14)</w:t>
        </w:r>
      </w:hyperlink>
      <w:r w:rsidRPr="00571A37">
        <w:rPr>
          <w:rFonts w:ascii="Arial" w:hAnsi="Arial" w:cs="Arial"/>
        </w:rPr>
        <w:t xml:space="preserve"> </w:t>
      </w:r>
      <w:r w:rsidR="004D7F0E">
        <w:rPr>
          <w:rFonts w:ascii="Arial" w:hAnsi="Arial" w:cs="Arial"/>
        </w:rPr>
        <w:t>enables</w:t>
      </w:r>
      <w:r w:rsidRPr="00571A37">
        <w:rPr>
          <w:rFonts w:ascii="Arial" w:hAnsi="Arial" w:cs="Arial"/>
        </w:rPr>
        <w:t xml:space="preserve"> the department to provide a rental subsidy for eligible teachers. </w:t>
      </w:r>
    </w:p>
    <w:p w14:paraId="07B890C1" w14:textId="77777777" w:rsidR="00DF3DE3" w:rsidRDefault="00DF3DE3" w:rsidP="008E7C43">
      <w:pPr>
        <w:jc w:val="both"/>
        <w:rPr>
          <w:rFonts w:ascii="Arial" w:hAnsi="Arial" w:cs="Arial"/>
          <w:color w:val="333333"/>
          <w:shd w:val="clear" w:color="auto" w:fill="FFFFFF"/>
        </w:rPr>
      </w:pPr>
      <w:r w:rsidRPr="00DF3DE3">
        <w:rPr>
          <w:rFonts w:ascii="Arial" w:hAnsi="Arial" w:cs="Arial"/>
          <w:color w:val="333333"/>
          <w:shd w:val="clear" w:color="auto" w:fill="FFFFFF"/>
        </w:rPr>
        <w:t>The rental subsidy is based on whether the accommodation is sole or multi-tenancy, the size and standard of the residence, and transfer rating</w:t>
      </w:r>
      <w:r>
        <w:rPr>
          <w:rFonts w:ascii="Arial" w:hAnsi="Arial" w:cs="Arial"/>
          <w:color w:val="333333"/>
          <w:shd w:val="clear" w:color="auto" w:fill="FFFFFF"/>
        </w:rPr>
        <w:t xml:space="preserve"> of the accommodation location</w:t>
      </w:r>
      <w:r w:rsidRPr="00DF3DE3">
        <w:rPr>
          <w:rFonts w:ascii="Arial" w:hAnsi="Arial" w:cs="Arial"/>
          <w:color w:val="333333"/>
          <w:shd w:val="clear" w:color="auto" w:fill="FFFFFF"/>
        </w:rPr>
        <w:t>.</w:t>
      </w:r>
    </w:p>
    <w:p w14:paraId="4E95F3B6" w14:textId="77777777" w:rsidR="00DF3DE3" w:rsidRPr="00DF3DE3" w:rsidRDefault="00DF3DE3" w:rsidP="008E7C43">
      <w:pPr>
        <w:jc w:val="both"/>
        <w:rPr>
          <w:rFonts w:ascii="Arial" w:hAnsi="Arial" w:cs="Arial"/>
          <w:lang w:eastAsia="en-US"/>
        </w:rPr>
      </w:pPr>
      <w:r w:rsidRPr="00DF3DE3">
        <w:rPr>
          <w:rFonts w:ascii="Arial" w:eastAsia="Times New Roman" w:hAnsi="Arial" w:cs="Arial"/>
        </w:rPr>
        <w:t>The department collects rent by payroll deduction.</w:t>
      </w:r>
      <w:r w:rsidR="00756960">
        <w:rPr>
          <w:rFonts w:ascii="Arial" w:eastAsia="Times New Roman" w:hAnsi="Arial" w:cs="Arial"/>
        </w:rPr>
        <w:t xml:space="preserve"> While tenants in sole tenancies are responsible for managing their own utilities’ accounts, the </w:t>
      </w:r>
      <w:r>
        <w:rPr>
          <w:rFonts w:ascii="Arial" w:hAnsi="Arial" w:cs="Arial"/>
          <w:lang w:eastAsia="en-US"/>
        </w:rPr>
        <w:t xml:space="preserve">rental subsidy for tenants in multi-tenancies includes </w:t>
      </w:r>
      <w:r w:rsidR="00756960">
        <w:rPr>
          <w:rFonts w:ascii="Arial" w:hAnsi="Arial" w:cs="Arial"/>
          <w:lang w:eastAsia="en-US"/>
        </w:rPr>
        <w:t xml:space="preserve">utilities costs </w:t>
      </w:r>
      <w:r>
        <w:rPr>
          <w:rFonts w:ascii="Arial" w:hAnsi="Arial" w:cs="Arial"/>
          <w:lang w:eastAsia="en-US"/>
        </w:rPr>
        <w:t>(such as electricity and gas)</w:t>
      </w:r>
      <w:r w:rsidR="00756960">
        <w:rPr>
          <w:rFonts w:ascii="Arial" w:hAnsi="Arial" w:cs="Arial"/>
          <w:lang w:eastAsia="en-US"/>
        </w:rPr>
        <w:t xml:space="preserve"> which are in the department’s name.</w:t>
      </w:r>
    </w:p>
    <w:bookmarkEnd w:id="1"/>
    <w:bookmarkEnd w:id="6"/>
    <w:p w14:paraId="69B35E6A" w14:textId="77777777" w:rsidR="00E30BDB" w:rsidRPr="00305582" w:rsidRDefault="00614AC5" w:rsidP="008E7C43">
      <w:pPr>
        <w:pStyle w:val="Heading1"/>
        <w:jc w:val="both"/>
      </w:pPr>
      <w:r>
        <w:t>Rights and Responsibilities</w:t>
      </w:r>
    </w:p>
    <w:p w14:paraId="2139E56C" w14:textId="77777777" w:rsidR="00614AC5" w:rsidRDefault="00614AC5" w:rsidP="008E7C43">
      <w:pPr>
        <w:jc w:val="both"/>
        <w:rPr>
          <w:rFonts w:ascii="Arial" w:hAnsi="Arial" w:cs="Arial"/>
        </w:rPr>
      </w:pPr>
      <w:r>
        <w:rPr>
          <w:rFonts w:ascii="Arial" w:hAnsi="Arial" w:cs="Arial"/>
        </w:rPr>
        <w:t>It is important to note that becoming a tenant requires a number of processes and forms to be completed that are both department specific and legislated.</w:t>
      </w:r>
      <w:r w:rsidR="00CE3510">
        <w:rPr>
          <w:rFonts w:ascii="Arial" w:hAnsi="Arial" w:cs="Arial"/>
        </w:rPr>
        <w:t xml:space="preserve"> You should familiarise yourself with the information set out in the department’s teacher housing policy and procedure and additional information on </w:t>
      </w:r>
      <w:hyperlink r:id="rId12" w:history="1">
        <w:proofErr w:type="spellStart"/>
        <w:r w:rsidR="00CE3510" w:rsidRPr="00CE3510">
          <w:rPr>
            <w:rStyle w:val="Hyperlink"/>
            <w:rFonts w:ascii="Arial" w:hAnsi="Arial" w:cs="Arial"/>
          </w:rPr>
          <w:t>OnePortal</w:t>
        </w:r>
        <w:proofErr w:type="spellEnd"/>
      </w:hyperlink>
      <w:r w:rsidR="00CE3510">
        <w:rPr>
          <w:rFonts w:ascii="Arial" w:hAnsi="Arial" w:cs="Arial"/>
        </w:rPr>
        <w:t xml:space="preserve"> as well as relevant legislation.</w:t>
      </w:r>
    </w:p>
    <w:p w14:paraId="45231CB4" w14:textId="77777777" w:rsidR="00756960" w:rsidRDefault="00E30BDB" w:rsidP="008E7C43">
      <w:pPr>
        <w:jc w:val="both"/>
        <w:rPr>
          <w:rFonts w:ascii="Arial" w:hAnsi="Arial" w:cs="Arial"/>
          <w:i/>
        </w:rPr>
      </w:pPr>
      <w:r w:rsidRPr="00225DFE">
        <w:rPr>
          <w:rFonts w:ascii="Arial" w:hAnsi="Arial" w:cs="Arial"/>
        </w:rPr>
        <w:t>Tenants and property owners have rights and obligations</w:t>
      </w:r>
      <w:r w:rsidR="00756960">
        <w:rPr>
          <w:rFonts w:ascii="Arial" w:hAnsi="Arial" w:cs="Arial"/>
        </w:rPr>
        <w:t xml:space="preserve"> in accordance </w:t>
      </w:r>
      <w:r w:rsidR="00756960" w:rsidRPr="00225DFE">
        <w:rPr>
          <w:rFonts w:ascii="Arial" w:hAnsi="Arial" w:cs="Arial"/>
        </w:rPr>
        <w:t xml:space="preserve">with the </w:t>
      </w:r>
      <w:hyperlink r:id="rId13" w:history="1">
        <w:r w:rsidR="00756960" w:rsidRPr="00225DFE">
          <w:rPr>
            <w:rStyle w:val="Hyperlink"/>
            <w:rFonts w:ascii="Arial" w:hAnsi="Arial" w:cs="Arial"/>
            <w:i/>
          </w:rPr>
          <w:t>Residential Tenancies and Rooming Accommodation Act 2008</w:t>
        </w:r>
        <w:r w:rsidR="00756960" w:rsidRPr="00225DFE">
          <w:rPr>
            <w:rStyle w:val="Hyperlink"/>
            <w:rFonts w:ascii="Arial" w:hAnsi="Arial" w:cs="Arial"/>
          </w:rPr>
          <w:t xml:space="preserve"> (Qld)</w:t>
        </w:r>
      </w:hyperlink>
      <w:r w:rsidR="00756960" w:rsidRPr="00225DFE">
        <w:rPr>
          <w:rStyle w:val="Hyperlink"/>
          <w:rFonts w:ascii="Arial" w:hAnsi="Arial" w:cs="Arial"/>
        </w:rPr>
        <w:t xml:space="preserve">, </w:t>
      </w:r>
      <w:hyperlink r:id="rId14" w:history="1">
        <w:r w:rsidR="00756960" w:rsidRPr="00225DFE">
          <w:rPr>
            <w:rStyle w:val="Hyperlink"/>
            <w:rFonts w:ascii="Arial" w:hAnsi="Arial" w:cs="Arial"/>
            <w:i/>
          </w:rPr>
          <w:t>Residential Tenancies and Rooming Accommodation Amendment Regulation 200</w:t>
        </w:r>
        <w:r w:rsidR="00756960" w:rsidRPr="00225DFE">
          <w:rPr>
            <w:rStyle w:val="Hyperlink"/>
            <w:rFonts w:ascii="Arial" w:hAnsi="Arial" w:cs="Arial"/>
          </w:rPr>
          <w:t>9</w:t>
        </w:r>
      </w:hyperlink>
      <w:r w:rsidR="00756960" w:rsidRPr="00225DFE">
        <w:rPr>
          <w:rStyle w:val="Hyperlink"/>
          <w:rFonts w:ascii="Arial" w:hAnsi="Arial" w:cs="Arial"/>
        </w:rPr>
        <w:t xml:space="preserve"> </w:t>
      </w:r>
      <w:r w:rsidR="00756960" w:rsidRPr="00225DFE">
        <w:rPr>
          <w:rFonts w:ascii="Arial" w:hAnsi="Arial" w:cs="Arial"/>
        </w:rPr>
        <w:t xml:space="preserve">and the </w:t>
      </w:r>
      <w:hyperlink r:id="rId15" w:history="1">
        <w:r w:rsidR="00756960" w:rsidRPr="00225DFE">
          <w:rPr>
            <w:rStyle w:val="Hyperlink"/>
            <w:rFonts w:ascii="Arial" w:hAnsi="Arial" w:cs="Arial"/>
            <w:i/>
          </w:rPr>
          <w:t>Housing Legislation Amendment Bill 2021</w:t>
        </w:r>
      </w:hyperlink>
      <w:r w:rsidR="00756960">
        <w:rPr>
          <w:rFonts w:ascii="Arial" w:hAnsi="Arial" w:cs="Arial"/>
          <w:i/>
        </w:rPr>
        <w:t>.</w:t>
      </w:r>
    </w:p>
    <w:p w14:paraId="6F10EF44" w14:textId="77777777" w:rsidR="00756960" w:rsidRDefault="00756960" w:rsidP="008E7C43">
      <w:pPr>
        <w:jc w:val="both"/>
        <w:rPr>
          <w:rStyle w:val="Hyperlink"/>
          <w:rFonts w:ascii="Arial" w:hAnsi="Arial" w:cs="Arial"/>
          <w:u w:val="none"/>
        </w:rPr>
      </w:pPr>
      <w:r>
        <w:rPr>
          <w:rFonts w:ascii="Arial" w:hAnsi="Arial" w:cs="Arial"/>
        </w:rPr>
        <w:t>More information about these rights and responsibilities c</w:t>
      </w:r>
      <w:r w:rsidR="00E30BDB" w:rsidRPr="00225DFE">
        <w:rPr>
          <w:rFonts w:ascii="Arial" w:hAnsi="Arial" w:cs="Arial"/>
        </w:rPr>
        <w:t xml:space="preserve">an be found on the </w:t>
      </w:r>
      <w:hyperlink r:id="rId16" w:history="1">
        <w:r w:rsidR="00E30BDB" w:rsidRPr="00225DFE">
          <w:rPr>
            <w:rStyle w:val="Hyperlink"/>
            <w:rFonts w:ascii="Arial" w:hAnsi="Arial" w:cs="Arial"/>
          </w:rPr>
          <w:t>Residential Tenancies Authority (RTA) website</w:t>
        </w:r>
      </w:hyperlink>
      <w:r w:rsidR="00E30BDB" w:rsidRPr="00225DFE">
        <w:rPr>
          <w:rStyle w:val="Hyperlink"/>
          <w:rFonts w:ascii="Arial" w:hAnsi="Arial" w:cs="Arial"/>
        </w:rPr>
        <w:t>.</w:t>
      </w:r>
      <w:r w:rsidR="00E30BDB" w:rsidRPr="00756960">
        <w:rPr>
          <w:rStyle w:val="Hyperlink"/>
          <w:rFonts w:ascii="Arial" w:hAnsi="Arial" w:cs="Arial"/>
          <w:u w:val="none"/>
        </w:rPr>
        <w:t xml:space="preserve"> </w:t>
      </w:r>
    </w:p>
    <w:p w14:paraId="77B807A6" w14:textId="77777777" w:rsidR="008E7C43" w:rsidRPr="008E7C43" w:rsidRDefault="008E7C43" w:rsidP="008E7C43">
      <w:pPr>
        <w:jc w:val="both"/>
        <w:rPr>
          <w:rFonts w:ascii="Arial" w:hAnsi="Arial" w:cs="Arial"/>
          <w:sz w:val="32"/>
          <w:szCs w:val="32"/>
        </w:rPr>
      </w:pPr>
      <w:bookmarkStart w:id="7" w:name="_Toc121155818"/>
      <w:bookmarkStart w:id="8" w:name="_Toc121155816"/>
      <w:bookmarkEnd w:id="2"/>
      <w:r w:rsidRPr="008E7C43">
        <w:rPr>
          <w:rFonts w:ascii="Arial" w:hAnsi="Arial" w:cs="Arial"/>
          <w:sz w:val="32"/>
          <w:szCs w:val="32"/>
        </w:rPr>
        <w:t>What to Bring</w:t>
      </w:r>
    </w:p>
    <w:p w14:paraId="6A0A668F" w14:textId="77777777" w:rsidR="009C2773" w:rsidRDefault="009C2773" w:rsidP="008E7C43">
      <w:pPr>
        <w:jc w:val="both"/>
        <w:rPr>
          <w:rFonts w:ascii="Arial" w:hAnsi="Arial" w:cs="Arial"/>
        </w:rPr>
      </w:pPr>
      <w:r w:rsidRPr="00DF3DE3">
        <w:rPr>
          <w:rFonts w:ascii="Arial" w:hAnsi="Arial" w:cs="Arial"/>
        </w:rPr>
        <w:t xml:space="preserve">A </w:t>
      </w:r>
      <w:r w:rsidR="008E7C43">
        <w:rPr>
          <w:rFonts w:ascii="Arial" w:hAnsi="Arial" w:cs="Arial"/>
        </w:rPr>
        <w:t>s</w:t>
      </w:r>
      <w:r w:rsidRPr="00DF3DE3">
        <w:rPr>
          <w:rFonts w:ascii="Arial" w:hAnsi="Arial" w:cs="Arial"/>
        </w:rPr>
        <w:t xml:space="preserve">ole tenancy is usually unfurnished while </w:t>
      </w:r>
      <w:r w:rsidR="00C40449">
        <w:rPr>
          <w:rFonts w:ascii="Arial" w:hAnsi="Arial" w:cs="Arial"/>
        </w:rPr>
        <w:t>in some locations a</w:t>
      </w:r>
      <w:r w:rsidRPr="00DF3DE3">
        <w:rPr>
          <w:rFonts w:ascii="Arial" w:hAnsi="Arial" w:cs="Arial"/>
        </w:rPr>
        <w:t xml:space="preserve"> multi-tenancy </w:t>
      </w:r>
      <w:r w:rsidR="00D9014C">
        <w:rPr>
          <w:rFonts w:ascii="Arial" w:hAnsi="Arial" w:cs="Arial"/>
        </w:rPr>
        <w:t>may have</w:t>
      </w:r>
      <w:r w:rsidRPr="00DF3DE3">
        <w:rPr>
          <w:rFonts w:ascii="Arial" w:hAnsi="Arial" w:cs="Arial"/>
        </w:rPr>
        <w:t xml:space="preserve"> some basic furniture provided or after discussion with your LAC/Principal, </w:t>
      </w:r>
      <w:r w:rsidR="00D9014C">
        <w:rPr>
          <w:rFonts w:ascii="Arial" w:hAnsi="Arial" w:cs="Arial"/>
        </w:rPr>
        <w:t>may</w:t>
      </w:r>
      <w:r w:rsidRPr="00DF3DE3">
        <w:rPr>
          <w:rFonts w:ascii="Arial" w:hAnsi="Arial" w:cs="Arial"/>
        </w:rPr>
        <w:t xml:space="preserve"> be arranged. </w:t>
      </w:r>
    </w:p>
    <w:p w14:paraId="2C0D7483" w14:textId="77777777" w:rsidR="00F65253" w:rsidRDefault="00F65253" w:rsidP="008E7C43">
      <w:pPr>
        <w:jc w:val="both"/>
        <w:rPr>
          <w:rFonts w:ascii="Arial" w:hAnsi="Arial" w:cs="Arial"/>
        </w:rPr>
      </w:pPr>
      <w:r w:rsidRPr="00F65253">
        <w:rPr>
          <w:rFonts w:ascii="Arial" w:hAnsi="Arial" w:cs="Arial"/>
          <w:lang w:eastAsia="en-US"/>
        </w:rPr>
        <w:t>Prior to arranging relocation of your personal effect</w:t>
      </w:r>
      <w:r>
        <w:rPr>
          <w:rFonts w:ascii="Arial" w:hAnsi="Arial" w:cs="Arial"/>
          <w:lang w:eastAsia="en-US"/>
        </w:rPr>
        <w:t>s, a</w:t>
      </w:r>
      <w:r w:rsidR="008E7C43">
        <w:rPr>
          <w:rFonts w:ascii="Arial" w:hAnsi="Arial" w:cs="Arial"/>
        </w:rPr>
        <w:t xml:space="preserve">s accommodation sizes and configurations vary, </w:t>
      </w:r>
      <w:r>
        <w:rPr>
          <w:rFonts w:ascii="Arial" w:hAnsi="Arial" w:cs="Arial"/>
        </w:rPr>
        <w:t xml:space="preserve">if you are moving into </w:t>
      </w:r>
    </w:p>
    <w:p w14:paraId="1B3B8309" w14:textId="77777777" w:rsidR="00F65253" w:rsidRDefault="00F65253" w:rsidP="008E7C43">
      <w:pPr>
        <w:pStyle w:val="ListParagraph"/>
        <w:numPr>
          <w:ilvl w:val="0"/>
          <w:numId w:val="6"/>
        </w:numPr>
        <w:jc w:val="both"/>
        <w:rPr>
          <w:rFonts w:cs="Arial"/>
        </w:rPr>
      </w:pPr>
      <w:r>
        <w:rPr>
          <w:rFonts w:cs="Arial"/>
        </w:rPr>
        <w:t xml:space="preserve">Sole tenancy and </w:t>
      </w:r>
      <w:r w:rsidR="008E7C43" w:rsidRPr="00F65253">
        <w:rPr>
          <w:rFonts w:cs="Arial"/>
        </w:rPr>
        <w:t xml:space="preserve">own a large house full of furniture </w:t>
      </w:r>
      <w:r w:rsidR="0096272C" w:rsidRPr="00F65253">
        <w:rPr>
          <w:rFonts w:cs="Arial"/>
        </w:rPr>
        <w:t xml:space="preserve">you may need to consider </w:t>
      </w:r>
      <w:r>
        <w:rPr>
          <w:rFonts w:cs="Arial"/>
        </w:rPr>
        <w:t>the size of the accommodation and what will fit</w:t>
      </w:r>
      <w:r w:rsidR="0096272C" w:rsidRPr="00F65253">
        <w:rPr>
          <w:rFonts w:cs="Arial"/>
        </w:rPr>
        <w:t>.</w:t>
      </w:r>
    </w:p>
    <w:p w14:paraId="551EA1A5" w14:textId="77777777" w:rsidR="00F65253" w:rsidRDefault="00654C2E" w:rsidP="008E7C43">
      <w:pPr>
        <w:pStyle w:val="ListParagraph"/>
        <w:numPr>
          <w:ilvl w:val="0"/>
          <w:numId w:val="6"/>
        </w:numPr>
        <w:jc w:val="both"/>
        <w:rPr>
          <w:rFonts w:cs="Arial"/>
        </w:rPr>
      </w:pPr>
      <w:r>
        <w:rPr>
          <w:rFonts w:cs="Arial"/>
          <w:lang w:eastAsia="en-US"/>
        </w:rPr>
        <w:t>M</w:t>
      </w:r>
      <w:r w:rsidR="00F65253" w:rsidRPr="00F65253">
        <w:rPr>
          <w:rFonts w:cs="Arial"/>
          <w:lang w:eastAsia="en-US"/>
        </w:rPr>
        <w:t>ulti-tenanted accommodation</w:t>
      </w:r>
      <w:r>
        <w:rPr>
          <w:rFonts w:cs="Arial"/>
          <w:lang w:eastAsia="en-US"/>
        </w:rPr>
        <w:t>,</w:t>
      </w:r>
      <w:r w:rsidR="00F65253" w:rsidRPr="00F65253">
        <w:rPr>
          <w:rFonts w:cs="Arial"/>
          <w:lang w:eastAsia="en-US"/>
        </w:rPr>
        <w:t xml:space="preserve"> it is useful to contact the other tenants living in the property to ensure there is enough room for everyone’s personal effects and to minimise duplicating items that you may all be willing to share.</w:t>
      </w:r>
    </w:p>
    <w:p w14:paraId="132C2BAF" w14:textId="77777777" w:rsidR="00D9014C" w:rsidRPr="00D9014C" w:rsidRDefault="00D9014C" w:rsidP="00D9014C">
      <w:pPr>
        <w:jc w:val="both"/>
        <w:rPr>
          <w:rFonts w:ascii="Arial" w:hAnsi="Arial" w:cs="Arial"/>
        </w:rPr>
      </w:pPr>
      <w:r w:rsidRPr="00D9014C">
        <w:rPr>
          <w:rFonts w:ascii="Arial" w:hAnsi="Arial" w:cs="Arial"/>
        </w:rPr>
        <w:lastRenderedPageBreak/>
        <w:t>If you think</w:t>
      </w:r>
      <w:r>
        <w:rPr>
          <w:rFonts w:ascii="Arial" w:hAnsi="Arial" w:cs="Arial"/>
        </w:rPr>
        <w:t xml:space="preserve"> you may have too many personal effects for the size of the property, it is best to limit what you bring. For some locations, depending on the transfer rating (TR), you may be eligible for storage of personal effects while working at that school location. Speak with your HR contact about this when arranging your move.</w:t>
      </w:r>
    </w:p>
    <w:p w14:paraId="20948BE7" w14:textId="77777777" w:rsidR="009C2773" w:rsidRPr="00DF3DE3" w:rsidRDefault="009C2773" w:rsidP="008E7C43">
      <w:pPr>
        <w:jc w:val="both"/>
        <w:rPr>
          <w:rFonts w:ascii="Arial" w:hAnsi="Arial" w:cs="Arial"/>
          <w:lang w:eastAsia="en-US"/>
        </w:rPr>
      </w:pPr>
      <w:r w:rsidRPr="00DF3DE3">
        <w:rPr>
          <w:rFonts w:ascii="Arial" w:hAnsi="Arial" w:cs="Arial"/>
        </w:rPr>
        <w:t>It is recommended as a minimum that you bring:</w:t>
      </w:r>
    </w:p>
    <w:p w14:paraId="7DC7E0A6" w14:textId="77777777" w:rsidR="009C2773" w:rsidRPr="00DF3DE3" w:rsidRDefault="009C2773" w:rsidP="004F7AAD">
      <w:pPr>
        <w:numPr>
          <w:ilvl w:val="0"/>
          <w:numId w:val="7"/>
        </w:numPr>
        <w:spacing w:after="120" w:line="360" w:lineRule="auto"/>
        <w:jc w:val="both"/>
        <w:rPr>
          <w:rFonts w:ascii="Arial" w:hAnsi="Arial" w:cs="Arial"/>
          <w:lang w:eastAsia="en-US"/>
        </w:rPr>
      </w:pPr>
      <w:r w:rsidRPr="00DF3DE3">
        <w:rPr>
          <w:rFonts w:ascii="Arial" w:hAnsi="Arial" w:cs="Arial"/>
          <w:lang w:eastAsia="en-US"/>
        </w:rPr>
        <w:t>Basic kitchen utensils;</w:t>
      </w:r>
    </w:p>
    <w:p w14:paraId="7802484C" w14:textId="77777777" w:rsidR="009C2773" w:rsidRPr="00DF3DE3" w:rsidRDefault="009C2773" w:rsidP="004F7AAD">
      <w:pPr>
        <w:numPr>
          <w:ilvl w:val="0"/>
          <w:numId w:val="7"/>
        </w:numPr>
        <w:spacing w:after="120" w:line="360" w:lineRule="auto"/>
        <w:jc w:val="both"/>
        <w:rPr>
          <w:rFonts w:ascii="Arial" w:hAnsi="Arial" w:cs="Arial"/>
          <w:lang w:eastAsia="en-US"/>
        </w:rPr>
      </w:pPr>
      <w:r w:rsidRPr="00DF3DE3">
        <w:rPr>
          <w:rFonts w:ascii="Arial" w:hAnsi="Arial" w:cs="Arial"/>
          <w:lang w:eastAsia="en-US"/>
        </w:rPr>
        <w:t>Bedding, including linen and towels;</w:t>
      </w:r>
    </w:p>
    <w:p w14:paraId="0A9C7F87" w14:textId="77777777" w:rsidR="009C2773" w:rsidRPr="00DF3DE3" w:rsidRDefault="009C2773" w:rsidP="004F7AAD">
      <w:pPr>
        <w:numPr>
          <w:ilvl w:val="0"/>
          <w:numId w:val="7"/>
        </w:numPr>
        <w:spacing w:after="120" w:line="360" w:lineRule="auto"/>
        <w:jc w:val="both"/>
        <w:rPr>
          <w:rFonts w:ascii="Arial" w:hAnsi="Arial" w:cs="Arial"/>
          <w:lang w:eastAsia="en-US"/>
        </w:rPr>
      </w:pPr>
      <w:r w:rsidRPr="00DF3DE3">
        <w:rPr>
          <w:rFonts w:ascii="Arial" w:hAnsi="Arial" w:cs="Arial"/>
          <w:lang w:eastAsia="en-US"/>
        </w:rPr>
        <w:t>Medicines;</w:t>
      </w:r>
    </w:p>
    <w:p w14:paraId="30D51185" w14:textId="77777777" w:rsidR="009C2773" w:rsidRPr="00DF3DE3" w:rsidRDefault="009C2773" w:rsidP="004F7AAD">
      <w:pPr>
        <w:numPr>
          <w:ilvl w:val="0"/>
          <w:numId w:val="7"/>
        </w:numPr>
        <w:spacing w:after="120" w:line="360" w:lineRule="auto"/>
        <w:jc w:val="both"/>
        <w:rPr>
          <w:rFonts w:ascii="Arial" w:hAnsi="Arial" w:cs="Arial"/>
          <w:lang w:eastAsia="en-US"/>
        </w:rPr>
      </w:pPr>
      <w:r w:rsidRPr="00DF3DE3">
        <w:rPr>
          <w:rFonts w:ascii="Arial" w:hAnsi="Arial" w:cs="Arial"/>
          <w:lang w:eastAsia="en-US"/>
        </w:rPr>
        <w:t>Identification documents;</w:t>
      </w:r>
    </w:p>
    <w:p w14:paraId="790DECFC" w14:textId="77777777" w:rsidR="009C2773" w:rsidRPr="00DF3DE3" w:rsidRDefault="009C2773" w:rsidP="004F7AAD">
      <w:pPr>
        <w:numPr>
          <w:ilvl w:val="0"/>
          <w:numId w:val="7"/>
        </w:numPr>
        <w:spacing w:after="120" w:line="360" w:lineRule="auto"/>
        <w:jc w:val="both"/>
        <w:rPr>
          <w:rFonts w:ascii="Arial" w:hAnsi="Arial" w:cs="Arial"/>
          <w:lang w:eastAsia="en-US"/>
        </w:rPr>
      </w:pPr>
      <w:r w:rsidRPr="00DF3DE3">
        <w:rPr>
          <w:rFonts w:ascii="Arial" w:hAnsi="Arial" w:cs="Arial"/>
          <w:lang w:eastAsia="en-US"/>
        </w:rPr>
        <w:t>Personal care items</w:t>
      </w:r>
    </w:p>
    <w:p w14:paraId="26497F4D" w14:textId="77777777" w:rsidR="009C2773" w:rsidRPr="00DF3DE3" w:rsidRDefault="009C2773" w:rsidP="004F7AAD">
      <w:pPr>
        <w:numPr>
          <w:ilvl w:val="0"/>
          <w:numId w:val="7"/>
        </w:numPr>
        <w:spacing w:after="120" w:line="360" w:lineRule="auto"/>
        <w:jc w:val="both"/>
        <w:rPr>
          <w:rFonts w:ascii="Arial" w:hAnsi="Arial" w:cs="Arial"/>
          <w:lang w:eastAsia="en-US"/>
        </w:rPr>
      </w:pPr>
      <w:r w:rsidRPr="00DF3DE3">
        <w:rPr>
          <w:rFonts w:ascii="Arial" w:hAnsi="Arial" w:cs="Arial"/>
          <w:lang w:eastAsia="en-US"/>
        </w:rPr>
        <w:t xml:space="preserve">General household items – depending on need; </w:t>
      </w:r>
    </w:p>
    <w:p w14:paraId="6CA57B45" w14:textId="77777777" w:rsidR="009C2773" w:rsidRPr="00DF3DE3" w:rsidRDefault="009C2773" w:rsidP="004F7AAD">
      <w:pPr>
        <w:numPr>
          <w:ilvl w:val="0"/>
          <w:numId w:val="7"/>
        </w:numPr>
        <w:spacing w:after="120" w:line="360" w:lineRule="auto"/>
        <w:jc w:val="both"/>
        <w:rPr>
          <w:rFonts w:ascii="Arial" w:hAnsi="Arial" w:cs="Arial"/>
          <w:lang w:eastAsia="en-US"/>
        </w:rPr>
      </w:pPr>
      <w:r w:rsidRPr="00DF3DE3">
        <w:rPr>
          <w:rFonts w:ascii="Arial" w:hAnsi="Arial" w:cs="Arial"/>
          <w:lang w:eastAsia="en-US"/>
        </w:rPr>
        <w:t>Climatically appropriate clothing; and</w:t>
      </w:r>
    </w:p>
    <w:p w14:paraId="2376FF27" w14:textId="77777777" w:rsidR="009C2773" w:rsidRPr="004F7AAD" w:rsidRDefault="009C2773" w:rsidP="004F7AAD">
      <w:pPr>
        <w:pStyle w:val="ListParagraph"/>
        <w:numPr>
          <w:ilvl w:val="0"/>
          <w:numId w:val="7"/>
        </w:numPr>
        <w:jc w:val="both"/>
        <w:rPr>
          <w:rFonts w:cs="Arial"/>
          <w:lang w:eastAsia="en-US"/>
        </w:rPr>
      </w:pPr>
      <w:r w:rsidRPr="004F7AAD">
        <w:rPr>
          <w:rFonts w:cs="Arial"/>
          <w:lang w:eastAsia="en-US"/>
        </w:rPr>
        <w:t>Hobbies and entertainment items.</w:t>
      </w:r>
    </w:p>
    <w:p w14:paraId="27274307" w14:textId="77777777" w:rsidR="009C2773" w:rsidRDefault="009C2773" w:rsidP="008E7C43">
      <w:pPr>
        <w:jc w:val="both"/>
        <w:rPr>
          <w:rFonts w:ascii="Arial" w:hAnsi="Arial" w:cs="Arial"/>
          <w:lang w:eastAsia="en-US"/>
        </w:rPr>
      </w:pPr>
      <w:r w:rsidRPr="00DF3DE3">
        <w:rPr>
          <w:rFonts w:ascii="Arial" w:hAnsi="Arial" w:cs="Arial"/>
          <w:lang w:eastAsia="en-US"/>
        </w:rPr>
        <w:t>Bringing personal items to make the house a home will assist you in transitioning to rural or remote community living.</w:t>
      </w:r>
    </w:p>
    <w:p w14:paraId="28431E70" w14:textId="77777777" w:rsidR="007E34E9" w:rsidRPr="007E34E9" w:rsidRDefault="007E34E9" w:rsidP="007E34E9">
      <w:pPr>
        <w:rPr>
          <w:rFonts w:ascii="Arial" w:hAnsi="Arial" w:cs="Arial"/>
          <w:lang w:eastAsia="en-US"/>
        </w:rPr>
      </w:pPr>
      <w:r w:rsidRPr="007E34E9">
        <w:rPr>
          <w:rFonts w:ascii="Arial" w:hAnsi="Arial" w:cs="Arial"/>
          <w:lang w:eastAsia="en-US"/>
        </w:rPr>
        <w:t xml:space="preserve">If you have a pet or are considering having a pet live with you, please see the RTA website for </w:t>
      </w:r>
      <w:hyperlink r:id="rId17" w:history="1">
        <w:r w:rsidRPr="003E35E4">
          <w:rPr>
            <w:rStyle w:val="Hyperlink"/>
            <w:rFonts w:ascii="Arial" w:hAnsi="Arial" w:cs="Arial"/>
            <w:lang w:eastAsia="en-US"/>
          </w:rPr>
          <w:t>knowing the rules about renting with pets</w:t>
        </w:r>
      </w:hyperlink>
      <w:r>
        <w:rPr>
          <w:rFonts w:ascii="Arial" w:hAnsi="Arial" w:cs="Arial"/>
          <w:lang w:eastAsia="en-US"/>
        </w:rPr>
        <w:t>. Owner approval is a legislated requirement.</w:t>
      </w:r>
    </w:p>
    <w:bookmarkEnd w:id="7"/>
    <w:p w14:paraId="31F37FB0" w14:textId="77777777" w:rsidR="008E7C43" w:rsidRDefault="008E7C43" w:rsidP="008E7C43">
      <w:pPr>
        <w:jc w:val="both"/>
        <w:rPr>
          <w:rFonts w:ascii="Arial" w:eastAsiaTheme="minorHAnsi" w:hAnsi="Arial" w:cs="Arial"/>
          <w:lang w:eastAsia="en-AU"/>
        </w:rPr>
      </w:pPr>
      <w:r w:rsidRPr="00225DFE">
        <w:rPr>
          <w:rFonts w:ascii="Arial" w:eastAsiaTheme="minorHAnsi" w:hAnsi="Arial" w:cs="Arial"/>
          <w:lang w:eastAsia="en-AU"/>
        </w:rPr>
        <w:t xml:space="preserve">More information about Teacher housing including a short video is available on the </w:t>
      </w:r>
      <w:hyperlink r:id="rId18" w:history="1">
        <w:r w:rsidRPr="00225DFE">
          <w:rPr>
            <w:rStyle w:val="Hyperlink"/>
            <w:rFonts w:ascii="Arial" w:eastAsiaTheme="minorHAnsi" w:hAnsi="Arial" w:cs="Arial"/>
            <w:lang w:eastAsia="en-AU"/>
          </w:rPr>
          <w:t xml:space="preserve">Teacher housing </w:t>
        </w:r>
        <w:proofErr w:type="spellStart"/>
        <w:r w:rsidRPr="00225DFE">
          <w:rPr>
            <w:rStyle w:val="Hyperlink"/>
            <w:rFonts w:ascii="Arial" w:eastAsiaTheme="minorHAnsi" w:hAnsi="Arial" w:cs="Arial"/>
            <w:lang w:eastAsia="en-AU"/>
          </w:rPr>
          <w:t>OnePortal</w:t>
        </w:r>
        <w:proofErr w:type="spellEnd"/>
        <w:r w:rsidRPr="00225DFE">
          <w:rPr>
            <w:rStyle w:val="Hyperlink"/>
            <w:rFonts w:ascii="Arial" w:eastAsiaTheme="minorHAnsi" w:hAnsi="Arial" w:cs="Arial"/>
            <w:lang w:eastAsia="en-AU"/>
          </w:rPr>
          <w:t xml:space="preserve"> page</w:t>
        </w:r>
      </w:hyperlink>
      <w:r w:rsidR="008A2286">
        <w:rPr>
          <w:rFonts w:ascii="Arial" w:eastAsiaTheme="minorHAnsi" w:hAnsi="Arial" w:cs="Arial"/>
          <w:lang w:eastAsia="en-AU"/>
        </w:rPr>
        <w:t>.</w:t>
      </w:r>
    </w:p>
    <w:p w14:paraId="051A9AC7" w14:textId="5B28C197" w:rsidR="009C2773" w:rsidRPr="009C2773" w:rsidRDefault="00D9014C" w:rsidP="008E7C43">
      <w:pPr>
        <w:jc w:val="both"/>
        <w:rPr>
          <w:lang w:eastAsia="en-US"/>
        </w:rPr>
      </w:pPr>
      <w:r>
        <w:rPr>
          <w:rFonts w:ascii="Arial" w:eastAsiaTheme="minorHAnsi" w:hAnsi="Arial" w:cs="Arial"/>
          <w:lang w:eastAsia="en-AU"/>
        </w:rPr>
        <w:t xml:space="preserve">Further information to assist you as part of your tenancy can be found in the </w:t>
      </w:r>
      <w:hyperlink r:id="rId19" w:history="1">
        <w:r w:rsidRPr="004F7AAD">
          <w:rPr>
            <w:rStyle w:val="Hyperlink"/>
            <w:rFonts w:ascii="Arial" w:eastAsiaTheme="minorHAnsi" w:hAnsi="Arial" w:cs="Arial"/>
            <w:lang w:eastAsia="en-AU"/>
          </w:rPr>
          <w:t>Tenant Information Booklet</w:t>
        </w:r>
      </w:hyperlink>
      <w:r>
        <w:rPr>
          <w:rFonts w:ascii="Arial" w:eastAsiaTheme="minorHAnsi" w:hAnsi="Arial" w:cs="Arial"/>
          <w:lang w:eastAsia="en-AU"/>
        </w:rPr>
        <w:t>.</w:t>
      </w:r>
    </w:p>
    <w:bookmarkEnd w:id="8"/>
    <w:sectPr w:rsidR="009C2773" w:rsidRPr="009C277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548D" w14:textId="77777777" w:rsidR="00D35C90" w:rsidRDefault="00D35C90" w:rsidP="00D35C90">
      <w:pPr>
        <w:spacing w:after="0" w:line="240" w:lineRule="auto"/>
      </w:pPr>
      <w:r>
        <w:separator/>
      </w:r>
    </w:p>
  </w:endnote>
  <w:endnote w:type="continuationSeparator" w:id="0">
    <w:p w14:paraId="75D4E67E" w14:textId="77777777" w:rsidR="00D35C90" w:rsidRDefault="00D35C90" w:rsidP="00D3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C01C" w14:textId="77777777" w:rsidR="00D35C90" w:rsidRDefault="00D35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1926" w14:textId="77777777" w:rsidR="00D35C90" w:rsidRDefault="00D35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B4FB" w14:textId="77777777" w:rsidR="00D35C90" w:rsidRDefault="00D35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664F" w14:textId="77777777" w:rsidR="00D35C90" w:rsidRDefault="00D35C90" w:rsidP="00D35C90">
      <w:pPr>
        <w:spacing w:after="0" w:line="240" w:lineRule="auto"/>
      </w:pPr>
      <w:r>
        <w:separator/>
      </w:r>
    </w:p>
  </w:footnote>
  <w:footnote w:type="continuationSeparator" w:id="0">
    <w:p w14:paraId="27B3A707" w14:textId="77777777" w:rsidR="00D35C90" w:rsidRDefault="00D35C90" w:rsidP="00D35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287F" w14:textId="7F775A4A" w:rsidR="00D35C90" w:rsidRDefault="00D35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D13E" w14:textId="20CFB801" w:rsidR="00D35C90" w:rsidRDefault="00D35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B6FE" w14:textId="344613EE" w:rsidR="00D35C90" w:rsidRDefault="00D35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DF5"/>
    <w:multiLevelType w:val="hybridMultilevel"/>
    <w:tmpl w:val="6ABE7D90"/>
    <w:lvl w:ilvl="0" w:tplc="84D08708">
      <w:start w:val="1"/>
      <w:numFmt w:val="bullet"/>
      <w:lvlText w:val="•"/>
      <w:lvlJc w:val="left"/>
      <w:pPr>
        <w:tabs>
          <w:tab w:val="num" w:pos="720"/>
        </w:tabs>
        <w:ind w:left="720" w:hanging="360"/>
      </w:pPr>
      <w:rPr>
        <w:rFonts w:ascii="Arial" w:hAnsi="Arial" w:hint="default"/>
      </w:rPr>
    </w:lvl>
    <w:lvl w:ilvl="1" w:tplc="BF581DBE" w:tentative="1">
      <w:start w:val="1"/>
      <w:numFmt w:val="bullet"/>
      <w:lvlText w:val="•"/>
      <w:lvlJc w:val="left"/>
      <w:pPr>
        <w:tabs>
          <w:tab w:val="num" w:pos="1440"/>
        </w:tabs>
        <w:ind w:left="1440" w:hanging="360"/>
      </w:pPr>
      <w:rPr>
        <w:rFonts w:ascii="Arial" w:hAnsi="Arial" w:hint="default"/>
      </w:rPr>
    </w:lvl>
    <w:lvl w:ilvl="2" w:tplc="4FECA5FA" w:tentative="1">
      <w:start w:val="1"/>
      <w:numFmt w:val="bullet"/>
      <w:lvlText w:val="•"/>
      <w:lvlJc w:val="left"/>
      <w:pPr>
        <w:tabs>
          <w:tab w:val="num" w:pos="2160"/>
        </w:tabs>
        <w:ind w:left="2160" w:hanging="360"/>
      </w:pPr>
      <w:rPr>
        <w:rFonts w:ascii="Arial" w:hAnsi="Arial" w:hint="default"/>
      </w:rPr>
    </w:lvl>
    <w:lvl w:ilvl="3" w:tplc="FB3010CE" w:tentative="1">
      <w:start w:val="1"/>
      <w:numFmt w:val="bullet"/>
      <w:lvlText w:val="•"/>
      <w:lvlJc w:val="left"/>
      <w:pPr>
        <w:tabs>
          <w:tab w:val="num" w:pos="2880"/>
        </w:tabs>
        <w:ind w:left="2880" w:hanging="360"/>
      </w:pPr>
      <w:rPr>
        <w:rFonts w:ascii="Arial" w:hAnsi="Arial" w:hint="default"/>
      </w:rPr>
    </w:lvl>
    <w:lvl w:ilvl="4" w:tplc="22B84160" w:tentative="1">
      <w:start w:val="1"/>
      <w:numFmt w:val="bullet"/>
      <w:lvlText w:val="•"/>
      <w:lvlJc w:val="left"/>
      <w:pPr>
        <w:tabs>
          <w:tab w:val="num" w:pos="3600"/>
        </w:tabs>
        <w:ind w:left="3600" w:hanging="360"/>
      </w:pPr>
      <w:rPr>
        <w:rFonts w:ascii="Arial" w:hAnsi="Arial" w:hint="default"/>
      </w:rPr>
    </w:lvl>
    <w:lvl w:ilvl="5" w:tplc="49B87784" w:tentative="1">
      <w:start w:val="1"/>
      <w:numFmt w:val="bullet"/>
      <w:lvlText w:val="•"/>
      <w:lvlJc w:val="left"/>
      <w:pPr>
        <w:tabs>
          <w:tab w:val="num" w:pos="4320"/>
        </w:tabs>
        <w:ind w:left="4320" w:hanging="360"/>
      </w:pPr>
      <w:rPr>
        <w:rFonts w:ascii="Arial" w:hAnsi="Arial" w:hint="default"/>
      </w:rPr>
    </w:lvl>
    <w:lvl w:ilvl="6" w:tplc="9FA87F04" w:tentative="1">
      <w:start w:val="1"/>
      <w:numFmt w:val="bullet"/>
      <w:lvlText w:val="•"/>
      <w:lvlJc w:val="left"/>
      <w:pPr>
        <w:tabs>
          <w:tab w:val="num" w:pos="5040"/>
        </w:tabs>
        <w:ind w:left="5040" w:hanging="360"/>
      </w:pPr>
      <w:rPr>
        <w:rFonts w:ascii="Arial" w:hAnsi="Arial" w:hint="default"/>
      </w:rPr>
    </w:lvl>
    <w:lvl w:ilvl="7" w:tplc="483C8EA8" w:tentative="1">
      <w:start w:val="1"/>
      <w:numFmt w:val="bullet"/>
      <w:lvlText w:val="•"/>
      <w:lvlJc w:val="left"/>
      <w:pPr>
        <w:tabs>
          <w:tab w:val="num" w:pos="5760"/>
        </w:tabs>
        <w:ind w:left="5760" w:hanging="360"/>
      </w:pPr>
      <w:rPr>
        <w:rFonts w:ascii="Arial" w:hAnsi="Arial" w:hint="default"/>
      </w:rPr>
    </w:lvl>
    <w:lvl w:ilvl="8" w:tplc="5784EB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046D11"/>
    <w:multiLevelType w:val="hybridMultilevel"/>
    <w:tmpl w:val="3F10D1FC"/>
    <w:lvl w:ilvl="0" w:tplc="0C09000F">
      <w:start w:val="1"/>
      <w:numFmt w:val="decimal"/>
      <w:lvlText w:val="%1."/>
      <w:lvlJc w:val="left"/>
      <w:pPr>
        <w:ind w:left="6" w:hanging="36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 w15:restartNumberingAfterBreak="0">
    <w:nsid w:val="14885760"/>
    <w:multiLevelType w:val="hybridMultilevel"/>
    <w:tmpl w:val="6E38D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51186"/>
    <w:multiLevelType w:val="hybridMultilevel"/>
    <w:tmpl w:val="0778F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96606B"/>
    <w:multiLevelType w:val="hybridMultilevel"/>
    <w:tmpl w:val="5F825C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7903454"/>
    <w:multiLevelType w:val="hybridMultilevel"/>
    <w:tmpl w:val="72BE6C2A"/>
    <w:lvl w:ilvl="0" w:tplc="E5626222">
      <w:start w:val="1"/>
      <w:numFmt w:val="bullet"/>
      <w:lvlText w:val="•"/>
      <w:lvlJc w:val="left"/>
      <w:pPr>
        <w:tabs>
          <w:tab w:val="num" w:pos="720"/>
        </w:tabs>
        <w:ind w:left="720" w:hanging="360"/>
      </w:pPr>
      <w:rPr>
        <w:rFonts w:ascii="Arial" w:hAnsi="Arial" w:hint="default"/>
      </w:rPr>
    </w:lvl>
    <w:lvl w:ilvl="1" w:tplc="19B47606">
      <w:start w:val="119"/>
      <w:numFmt w:val="bullet"/>
      <w:lvlText w:val="•"/>
      <w:lvlJc w:val="left"/>
      <w:pPr>
        <w:tabs>
          <w:tab w:val="num" w:pos="1440"/>
        </w:tabs>
        <w:ind w:left="1440" w:hanging="360"/>
      </w:pPr>
      <w:rPr>
        <w:rFonts w:ascii="Arial" w:hAnsi="Arial" w:hint="default"/>
      </w:rPr>
    </w:lvl>
    <w:lvl w:ilvl="2" w:tplc="5FDCE24E" w:tentative="1">
      <w:start w:val="1"/>
      <w:numFmt w:val="bullet"/>
      <w:lvlText w:val="•"/>
      <w:lvlJc w:val="left"/>
      <w:pPr>
        <w:tabs>
          <w:tab w:val="num" w:pos="2160"/>
        </w:tabs>
        <w:ind w:left="2160" w:hanging="360"/>
      </w:pPr>
      <w:rPr>
        <w:rFonts w:ascii="Arial" w:hAnsi="Arial" w:hint="default"/>
      </w:rPr>
    </w:lvl>
    <w:lvl w:ilvl="3" w:tplc="6902D28E" w:tentative="1">
      <w:start w:val="1"/>
      <w:numFmt w:val="bullet"/>
      <w:lvlText w:val="•"/>
      <w:lvlJc w:val="left"/>
      <w:pPr>
        <w:tabs>
          <w:tab w:val="num" w:pos="2880"/>
        </w:tabs>
        <w:ind w:left="2880" w:hanging="360"/>
      </w:pPr>
      <w:rPr>
        <w:rFonts w:ascii="Arial" w:hAnsi="Arial" w:hint="default"/>
      </w:rPr>
    </w:lvl>
    <w:lvl w:ilvl="4" w:tplc="241A5AEE" w:tentative="1">
      <w:start w:val="1"/>
      <w:numFmt w:val="bullet"/>
      <w:lvlText w:val="•"/>
      <w:lvlJc w:val="left"/>
      <w:pPr>
        <w:tabs>
          <w:tab w:val="num" w:pos="3600"/>
        </w:tabs>
        <w:ind w:left="3600" w:hanging="360"/>
      </w:pPr>
      <w:rPr>
        <w:rFonts w:ascii="Arial" w:hAnsi="Arial" w:hint="default"/>
      </w:rPr>
    </w:lvl>
    <w:lvl w:ilvl="5" w:tplc="DC740A62" w:tentative="1">
      <w:start w:val="1"/>
      <w:numFmt w:val="bullet"/>
      <w:lvlText w:val="•"/>
      <w:lvlJc w:val="left"/>
      <w:pPr>
        <w:tabs>
          <w:tab w:val="num" w:pos="4320"/>
        </w:tabs>
        <w:ind w:left="4320" w:hanging="360"/>
      </w:pPr>
      <w:rPr>
        <w:rFonts w:ascii="Arial" w:hAnsi="Arial" w:hint="default"/>
      </w:rPr>
    </w:lvl>
    <w:lvl w:ilvl="6" w:tplc="D4EAC0FC" w:tentative="1">
      <w:start w:val="1"/>
      <w:numFmt w:val="bullet"/>
      <w:lvlText w:val="•"/>
      <w:lvlJc w:val="left"/>
      <w:pPr>
        <w:tabs>
          <w:tab w:val="num" w:pos="5040"/>
        </w:tabs>
        <w:ind w:left="5040" w:hanging="360"/>
      </w:pPr>
      <w:rPr>
        <w:rFonts w:ascii="Arial" w:hAnsi="Arial" w:hint="default"/>
      </w:rPr>
    </w:lvl>
    <w:lvl w:ilvl="7" w:tplc="28D83CB8" w:tentative="1">
      <w:start w:val="1"/>
      <w:numFmt w:val="bullet"/>
      <w:lvlText w:val="•"/>
      <w:lvlJc w:val="left"/>
      <w:pPr>
        <w:tabs>
          <w:tab w:val="num" w:pos="5760"/>
        </w:tabs>
        <w:ind w:left="5760" w:hanging="360"/>
      </w:pPr>
      <w:rPr>
        <w:rFonts w:ascii="Arial" w:hAnsi="Arial" w:hint="default"/>
      </w:rPr>
    </w:lvl>
    <w:lvl w:ilvl="8" w:tplc="E55C8D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F27BD2"/>
    <w:multiLevelType w:val="hybridMultilevel"/>
    <w:tmpl w:val="63787B76"/>
    <w:lvl w:ilvl="0" w:tplc="0C090001">
      <w:start w:val="1"/>
      <w:numFmt w:val="bullet"/>
      <w:lvlText w:val=""/>
      <w:lvlJc w:val="left"/>
      <w:pPr>
        <w:tabs>
          <w:tab w:val="num" w:pos="720"/>
        </w:tabs>
        <w:ind w:left="720" w:hanging="360"/>
      </w:pPr>
      <w:rPr>
        <w:rFonts w:ascii="Symbol" w:hAnsi="Symbol" w:hint="default"/>
      </w:rPr>
    </w:lvl>
    <w:lvl w:ilvl="1" w:tplc="0FC0840C">
      <w:start w:val="119"/>
      <w:numFmt w:val="bullet"/>
      <w:lvlText w:val="•"/>
      <w:lvlJc w:val="left"/>
      <w:pPr>
        <w:tabs>
          <w:tab w:val="num" w:pos="1440"/>
        </w:tabs>
        <w:ind w:left="1440" w:hanging="360"/>
      </w:pPr>
      <w:rPr>
        <w:rFonts w:ascii="Arial" w:hAnsi="Arial" w:hint="default"/>
      </w:rPr>
    </w:lvl>
    <w:lvl w:ilvl="2" w:tplc="269A4A42" w:tentative="1">
      <w:start w:val="1"/>
      <w:numFmt w:val="bullet"/>
      <w:lvlText w:val="•"/>
      <w:lvlJc w:val="left"/>
      <w:pPr>
        <w:tabs>
          <w:tab w:val="num" w:pos="2160"/>
        </w:tabs>
        <w:ind w:left="2160" w:hanging="360"/>
      </w:pPr>
      <w:rPr>
        <w:rFonts w:ascii="Arial" w:hAnsi="Arial" w:hint="default"/>
      </w:rPr>
    </w:lvl>
    <w:lvl w:ilvl="3" w:tplc="5DE6BECC" w:tentative="1">
      <w:start w:val="1"/>
      <w:numFmt w:val="bullet"/>
      <w:lvlText w:val="•"/>
      <w:lvlJc w:val="left"/>
      <w:pPr>
        <w:tabs>
          <w:tab w:val="num" w:pos="2880"/>
        </w:tabs>
        <w:ind w:left="2880" w:hanging="360"/>
      </w:pPr>
      <w:rPr>
        <w:rFonts w:ascii="Arial" w:hAnsi="Arial" w:hint="default"/>
      </w:rPr>
    </w:lvl>
    <w:lvl w:ilvl="4" w:tplc="15605A4A" w:tentative="1">
      <w:start w:val="1"/>
      <w:numFmt w:val="bullet"/>
      <w:lvlText w:val="•"/>
      <w:lvlJc w:val="left"/>
      <w:pPr>
        <w:tabs>
          <w:tab w:val="num" w:pos="3600"/>
        </w:tabs>
        <w:ind w:left="3600" w:hanging="360"/>
      </w:pPr>
      <w:rPr>
        <w:rFonts w:ascii="Arial" w:hAnsi="Arial" w:hint="default"/>
      </w:rPr>
    </w:lvl>
    <w:lvl w:ilvl="5" w:tplc="325A159E" w:tentative="1">
      <w:start w:val="1"/>
      <w:numFmt w:val="bullet"/>
      <w:lvlText w:val="•"/>
      <w:lvlJc w:val="left"/>
      <w:pPr>
        <w:tabs>
          <w:tab w:val="num" w:pos="4320"/>
        </w:tabs>
        <w:ind w:left="4320" w:hanging="360"/>
      </w:pPr>
      <w:rPr>
        <w:rFonts w:ascii="Arial" w:hAnsi="Arial" w:hint="default"/>
      </w:rPr>
    </w:lvl>
    <w:lvl w:ilvl="6" w:tplc="ADF400E4" w:tentative="1">
      <w:start w:val="1"/>
      <w:numFmt w:val="bullet"/>
      <w:lvlText w:val="•"/>
      <w:lvlJc w:val="left"/>
      <w:pPr>
        <w:tabs>
          <w:tab w:val="num" w:pos="5040"/>
        </w:tabs>
        <w:ind w:left="5040" w:hanging="360"/>
      </w:pPr>
      <w:rPr>
        <w:rFonts w:ascii="Arial" w:hAnsi="Arial" w:hint="default"/>
      </w:rPr>
    </w:lvl>
    <w:lvl w:ilvl="7" w:tplc="946C859A" w:tentative="1">
      <w:start w:val="1"/>
      <w:numFmt w:val="bullet"/>
      <w:lvlText w:val="•"/>
      <w:lvlJc w:val="left"/>
      <w:pPr>
        <w:tabs>
          <w:tab w:val="num" w:pos="5760"/>
        </w:tabs>
        <w:ind w:left="5760" w:hanging="360"/>
      </w:pPr>
      <w:rPr>
        <w:rFonts w:ascii="Arial" w:hAnsi="Arial" w:hint="default"/>
      </w:rPr>
    </w:lvl>
    <w:lvl w:ilvl="8" w:tplc="CB28329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CF"/>
    <w:rsid w:val="0005631D"/>
    <w:rsid w:val="000E002E"/>
    <w:rsid w:val="00144055"/>
    <w:rsid w:val="001E510A"/>
    <w:rsid w:val="00225DFE"/>
    <w:rsid w:val="00231329"/>
    <w:rsid w:val="00243C2E"/>
    <w:rsid w:val="002D5D80"/>
    <w:rsid w:val="00336901"/>
    <w:rsid w:val="003E35E4"/>
    <w:rsid w:val="004A4D91"/>
    <w:rsid w:val="004D7F0E"/>
    <w:rsid w:val="004F7AAD"/>
    <w:rsid w:val="00571A37"/>
    <w:rsid w:val="005A766C"/>
    <w:rsid w:val="00614AC5"/>
    <w:rsid w:val="00654C2E"/>
    <w:rsid w:val="00686311"/>
    <w:rsid w:val="00707C67"/>
    <w:rsid w:val="00756960"/>
    <w:rsid w:val="007D2DDF"/>
    <w:rsid w:val="007E34E9"/>
    <w:rsid w:val="008A2286"/>
    <w:rsid w:val="008B6C37"/>
    <w:rsid w:val="008E7C43"/>
    <w:rsid w:val="00954456"/>
    <w:rsid w:val="0096272C"/>
    <w:rsid w:val="009C2773"/>
    <w:rsid w:val="009E0660"/>
    <w:rsid w:val="00AD2D56"/>
    <w:rsid w:val="00AD49A2"/>
    <w:rsid w:val="00AF2C0C"/>
    <w:rsid w:val="00B2050B"/>
    <w:rsid w:val="00BA58FC"/>
    <w:rsid w:val="00C40449"/>
    <w:rsid w:val="00CB4704"/>
    <w:rsid w:val="00CC0837"/>
    <w:rsid w:val="00CE3510"/>
    <w:rsid w:val="00D35C90"/>
    <w:rsid w:val="00D9014C"/>
    <w:rsid w:val="00DB69CF"/>
    <w:rsid w:val="00DF3DE3"/>
    <w:rsid w:val="00E30BDB"/>
    <w:rsid w:val="00E6223F"/>
    <w:rsid w:val="00E65DD7"/>
    <w:rsid w:val="00EE11AB"/>
    <w:rsid w:val="00F5332A"/>
    <w:rsid w:val="00F652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718540"/>
  <w15:chartTrackingRefBased/>
  <w15:docId w15:val="{9E350626-08D2-498E-91E7-57075E42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BDB"/>
    <w:pPr>
      <w:spacing w:before="240" w:after="120" w:line="360" w:lineRule="auto"/>
      <w:outlineLvl w:val="0"/>
    </w:pPr>
    <w:rPr>
      <w:rFonts w:ascii="Arial" w:eastAsia="Calibri" w:hAnsi="Arial" w:cs="Arial"/>
      <w:sz w:val="32"/>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BDB"/>
    <w:rPr>
      <w:rFonts w:ascii="Arial" w:eastAsia="Calibri" w:hAnsi="Arial" w:cs="Arial"/>
      <w:sz w:val="32"/>
      <w:szCs w:val="40"/>
      <w:lang w:eastAsia="en-US"/>
    </w:rPr>
  </w:style>
  <w:style w:type="character" w:styleId="Hyperlink">
    <w:name w:val="Hyperlink"/>
    <w:basedOn w:val="DefaultParagraphFont"/>
    <w:uiPriority w:val="99"/>
    <w:unhideWhenUsed/>
    <w:rsid w:val="00E30BDB"/>
    <w:rPr>
      <w:color w:val="0563C1" w:themeColor="hyperlink"/>
      <w:u w:val="single"/>
    </w:rPr>
  </w:style>
  <w:style w:type="paragraph" w:styleId="ListParagraph">
    <w:name w:val="List Paragraph"/>
    <w:aliases w:val="Bullet copy"/>
    <w:basedOn w:val="Normal"/>
    <w:uiPriority w:val="34"/>
    <w:qFormat/>
    <w:rsid w:val="00E30BDB"/>
    <w:pPr>
      <w:spacing w:after="120" w:line="360" w:lineRule="auto"/>
      <w:ind w:left="720"/>
      <w:contextualSpacing/>
    </w:pPr>
    <w:rPr>
      <w:rFonts w:ascii="Arial" w:hAnsi="Arial"/>
      <w:lang w:eastAsia="zh-TW"/>
    </w:rPr>
  </w:style>
  <w:style w:type="character" w:styleId="CommentReference">
    <w:name w:val="annotation reference"/>
    <w:basedOn w:val="DefaultParagraphFont"/>
    <w:uiPriority w:val="99"/>
    <w:unhideWhenUsed/>
    <w:rsid w:val="00E30BDB"/>
    <w:rPr>
      <w:sz w:val="16"/>
      <w:szCs w:val="16"/>
    </w:rPr>
  </w:style>
  <w:style w:type="paragraph" w:styleId="CommentText">
    <w:name w:val="annotation text"/>
    <w:basedOn w:val="Normal"/>
    <w:link w:val="CommentTextChar"/>
    <w:uiPriority w:val="99"/>
    <w:unhideWhenUsed/>
    <w:rsid w:val="00E30BDB"/>
    <w:pPr>
      <w:spacing w:after="120" w:line="240" w:lineRule="auto"/>
    </w:pPr>
    <w:rPr>
      <w:rFonts w:ascii="Arial" w:hAnsi="Arial"/>
      <w:sz w:val="20"/>
      <w:szCs w:val="20"/>
      <w:lang w:eastAsia="zh-TW"/>
    </w:rPr>
  </w:style>
  <w:style w:type="character" w:customStyle="1" w:styleId="CommentTextChar">
    <w:name w:val="Comment Text Char"/>
    <w:basedOn w:val="DefaultParagraphFont"/>
    <w:link w:val="CommentText"/>
    <w:uiPriority w:val="99"/>
    <w:rsid w:val="00E30BDB"/>
    <w:rPr>
      <w:rFonts w:ascii="Arial" w:hAnsi="Arial"/>
      <w:sz w:val="20"/>
      <w:szCs w:val="20"/>
      <w:lang w:eastAsia="zh-TW"/>
    </w:rPr>
  </w:style>
  <w:style w:type="paragraph" w:customStyle="1" w:styleId="Default">
    <w:name w:val="Default"/>
    <w:uiPriority w:val="99"/>
    <w:rsid w:val="00E30BDB"/>
    <w:pPr>
      <w:widowControl w:val="0"/>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BalloonText">
    <w:name w:val="Balloon Text"/>
    <w:basedOn w:val="Normal"/>
    <w:link w:val="BalloonTextChar"/>
    <w:uiPriority w:val="99"/>
    <w:semiHidden/>
    <w:unhideWhenUsed/>
    <w:rsid w:val="00E30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BDB"/>
    <w:rPr>
      <w:rFonts w:ascii="Segoe UI" w:hAnsi="Segoe UI" w:cs="Segoe UI"/>
      <w:sz w:val="18"/>
      <w:szCs w:val="18"/>
    </w:rPr>
  </w:style>
  <w:style w:type="character" w:styleId="UnresolvedMention">
    <w:name w:val="Unresolved Mention"/>
    <w:basedOn w:val="DefaultParagraphFont"/>
    <w:uiPriority w:val="99"/>
    <w:semiHidden/>
    <w:unhideWhenUsed/>
    <w:rsid w:val="008B6C37"/>
    <w:rPr>
      <w:color w:val="605E5C"/>
      <w:shd w:val="clear" w:color="auto" w:fill="E1DFDD"/>
    </w:rPr>
  </w:style>
  <w:style w:type="character" w:styleId="FollowedHyperlink">
    <w:name w:val="FollowedHyperlink"/>
    <w:basedOn w:val="DefaultParagraphFont"/>
    <w:uiPriority w:val="99"/>
    <w:semiHidden/>
    <w:unhideWhenUsed/>
    <w:rsid w:val="008B6C37"/>
    <w:rPr>
      <w:color w:val="954F72" w:themeColor="followedHyperlink"/>
      <w:u w:val="single"/>
    </w:rPr>
  </w:style>
  <w:style w:type="character" w:customStyle="1" w:styleId="sr-only">
    <w:name w:val="sr-only"/>
    <w:basedOn w:val="DefaultParagraphFont"/>
    <w:rsid w:val="00AF2C0C"/>
  </w:style>
  <w:style w:type="paragraph" w:styleId="Header">
    <w:name w:val="header"/>
    <w:basedOn w:val="Normal"/>
    <w:link w:val="HeaderChar"/>
    <w:uiPriority w:val="99"/>
    <w:unhideWhenUsed/>
    <w:rsid w:val="00D35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C90"/>
  </w:style>
  <w:style w:type="paragraph" w:styleId="Footer">
    <w:name w:val="footer"/>
    <w:basedOn w:val="Normal"/>
    <w:link w:val="FooterChar"/>
    <w:uiPriority w:val="99"/>
    <w:unhideWhenUsed/>
    <w:rsid w:val="00D35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r.mpe.qed.qld.gov.au/pp/teacher-housing-procedure" TargetMode="External"/><Relationship Id="rId13" Type="http://schemas.openxmlformats.org/officeDocument/2006/relationships/hyperlink" Target="https://www.legislation.qld.gov.au/view/html/inforce/current/act-2008-073" TargetMode="External"/><Relationship Id="rId18" Type="http://schemas.openxmlformats.org/officeDocument/2006/relationships/hyperlink" Target="https://intranet.qed.qld.gov.au/Services/facilities/asset-management/teacher-hous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ppr.mpe.qed.qld.gov.au/pp/teacher-housing-policy" TargetMode="External"/><Relationship Id="rId12" Type="http://schemas.openxmlformats.org/officeDocument/2006/relationships/hyperlink" Target="https://intranet.qed.qld.gov.au/Services/facilities/asset-management/teacher-housing" TargetMode="External"/><Relationship Id="rId17" Type="http://schemas.openxmlformats.org/officeDocument/2006/relationships/hyperlink" Target="https://www.rta.qld.gov.au/news/2022/10/31/know-the-rules-about-renting-with-pet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rta.qld.gov.au/"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gov.qld.gov.au/employment-policy-career-and-wellbeing/directives-policies-circulars-and-guidelines/attraction-and-retention-incentives-directive-071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legislation.qld.gov.au/view/pdf/asmade/act-2021-019/lh" TargetMode="External"/><Relationship Id="rId23" Type="http://schemas.openxmlformats.org/officeDocument/2006/relationships/footer" Target="footer2.xml"/><Relationship Id="rId28" Type="http://schemas.openxmlformats.org/officeDocument/2006/relationships/customXml" Target="../customXml/item1.xml"/><Relationship Id="rId10" Type="http://schemas.openxmlformats.org/officeDocument/2006/relationships/hyperlink" Target="https://teach.qld.gov.au/teach-in-queensland-state-schools/pay-benefits-and-incentives/rural-and-remote-benefits" TargetMode="External"/><Relationship Id="rId19" Type="http://schemas.openxmlformats.org/officeDocument/2006/relationships/hyperlink" Target="https://ppr.mpe.qed.qld.gov.au/attachment/tenant-information-pack.docx" TargetMode="External"/><Relationship Id="rId4" Type="http://schemas.openxmlformats.org/officeDocument/2006/relationships/webSettings" Target="webSettings.xml"/><Relationship Id="rId9" Type="http://schemas.openxmlformats.org/officeDocument/2006/relationships/hyperlink" Target="https://ppr.mpe.qed.qld.gov.au/attachment/teacher-housing-application-form.pdf" TargetMode="External"/><Relationship Id="rId14" Type="http://schemas.openxmlformats.org/officeDocument/2006/relationships/hyperlink" Target="https://www.legislation.qld.gov.au/view/html/inforce/current/sl-2009-0074"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AttachmentParent xmlns="http://schemas.microsoft.com/sharepoint/v3">22/208581</PPRAttachmentParent>
    <PPRHPRMRecordNumber xmlns="http://schemas.microsoft.com/sharepoint/v3">23/582014</PPRHPRMRecordNumber>
    <PPRRisknumber xmlns="http://schemas.microsoft.com/sharepoint/v3" xsi:nil="true"/>
    <PPReferenceNumber xmlns="16795be8-4374-4e44-895d-be6cdbab3e2c" xsi:nil="true"/>
    <PPRDecommissioned xmlns="http://schemas.microsoft.com/sharepoint/v3" xsi:nil="true"/>
    <PPRPrimarySubCategory xmlns="16795be8-4374-4e44-895d-be6cdbab3e2c">11</PPRPrimarySubCategory>
    <PPLastReviewedBy xmlns="16795be8-4374-4e44-895d-be6cdbab3e2c">
      <UserInfo>
        <DisplayName>GILLAM, Maddison</DisplayName>
        <AccountId>19895</AccountId>
        <AccountType/>
      </UserInfo>
    </PPLastReviewedBy>
    <PPModeratedBy xmlns="16795be8-4374-4e44-895d-be6cdbab3e2c">
      <UserInfo>
        <DisplayName>GILLAM, Maddison</DisplayName>
        <AccountId>19895</AccountId>
        <AccountType/>
      </UserInfo>
    </PPModeratedBy>
    <PPRHPRMRevisionNumber xmlns="http://schemas.microsoft.com/sharepoint/v3">3</PPRHPRMRevisionNumber>
    <PPContentAuthor xmlns="16795be8-4374-4e44-895d-be6cdbab3e2c">
      <UserInfo>
        <DisplayName>xs-eip-iis-apppool</DisplayName>
        <AccountId>13747</AccountId>
        <AccountType/>
      </UserInfo>
    </PPContentAuthor>
    <PublishingStartDate xmlns="http://schemas.microsoft.com/sharepoint/v3" xsi:nil="true"/>
    <PPPublishedNotificationAddresses xmlns="16795be8-4374-4e44-895d-be6cdbab3e2c">alex.moir@qed.qld.gov.au</PPPublishedNotificationAddresses>
    <PPRUpdateNotes xmlns="http://schemas.microsoft.com/sharepoint/v3" xsi:nil="true"/>
    <PPRHierarchyID xmlns="http://schemas.microsoft.com/sharepoint/v3">20/710142</PPRHierarchyID>
    <PPRContentType xmlns="http://schemas.microsoft.com/sharepoint/v3">Supporting information</PPRContentType>
    <PPRHPRMUpdateDate xmlns="http://schemas.microsoft.com/sharepoint/v3">2023-07-26T03:39:05+00:00</PPRHPRMUpdateDate>
    <PPRNotes xmlns="http://schemas.microsoft.com/sharepoint/v3" xsi:nil="true"/>
    <PPRSecondaryCategory xmlns="16795be8-4374-4e44-895d-be6cdbab3e2c"/>
    <PPRBranch xmlns="http://schemas.microsoft.com/sharepoint/v3">People</PPRBranch>
    <PPRPrimaryCategory xmlns="16795be8-4374-4e44-895d-be6cdbab3e2c">5</PPRPrimaryCategory>
    <PPRKeywords xmlns="http://schemas.microsoft.com/sharepoint/v3">subsidised teacher housing; rural and remote school; teacher; appointment and transfer; attraction and retention; teacher housing committee; local accommodation committee;</PPRKeywords>
    <PPRDecommissionedDate xmlns="http://schemas.microsoft.com/sharepoint/v3" xsi:nil="true"/>
    <PPRVersionEffectiveDate xmlns="http://schemas.microsoft.com/sharepoint/v3" xsi:nil="true"/>
    <PPLastReviewedDate xmlns="16795be8-4374-4e44-895d-be6cdbab3e2c">2023-07-26T22:36:39+00:00</PPLastReviewedDate>
    <PPRIsUpdatesPage xmlns="http://schemas.microsoft.com/sharepoint/v3" xsi:nil="true"/>
    <PPModeratedDate xmlns="16795be8-4374-4e44-895d-be6cdbab3e2c">2023-07-26T22:36:38+00:00</PPModeratedDate>
    <PPRStatus xmlns="http://schemas.microsoft.com/sharepoint/v3" xsi:nil="true"/>
    <PPSubmittedDate xmlns="16795be8-4374-4e44-895d-be6cdbab3e2c">2023-07-26T07:22:26+00:00</PPSubmittedDate>
    <PublishingExpirationDate xmlns="http://schemas.microsoft.com/sharepoint/v3" xsi:nil="true"/>
    <PPContentOwner xmlns="16795be8-4374-4e44-895d-be6cdbab3e2c">
      <UserInfo>
        <DisplayName>GILLAM, Maddison</DisplayName>
        <AccountId>19895</AccountId>
        <AccountType/>
      </UserInfo>
    </PPContentOwner>
    <PPRRiskcontrol xmlns="http://schemas.microsoft.com/sharepoint/v3" xsi:nil="true"/>
    <PPRNominatedApprovers xmlns="http://schemas.microsoft.com/sharepoint/v3">Director, Teacher Talent and Mobility</PPRNominatedApprovers>
    <PPRContentOwner xmlns="http://schemas.microsoft.com/sharepoint/v3">ADG, People</PPRContentOwner>
    <PPSubmittedBy xmlns="16795be8-4374-4e44-895d-be6cdbab3e2c">
      <UserInfo>
        <DisplayName>KURZ, Kristyn</DisplayName>
        <AccountId>2267</AccountId>
        <AccountType/>
      </UserInfo>
    </PPSubmittedBy>
    <PPRNewVersion xmlns="http://schemas.microsoft.com/sharepoint/v3" xsi:nil="true"/>
    <PPRVersionNumber xmlns="http://schemas.microsoft.com/sharepoint/v3" xsi:nil="true"/>
    <PPRContentAuthor xmlns="http://schemas.microsoft.com/sharepoint/v3">Kathleen Patching</PPRContentAuthor>
    <PPRBusinessUnit xmlns="http://schemas.microsoft.com/sharepoint/v3">Teacher Talent and Mobility</PPRBusinessUnit>
    <PPReviewDate xmlns="16795be8-4374-4e44-895d-be6cdbab3e2c" xsi:nil="true"/>
    <PPRDivision xmlns="http://schemas.microsoft.com/sharepoint/v3">PICS</PPRDivision>
    <PPRPublishedDate xmlns="http://schemas.microsoft.com/sharepoint/v3" xsi:nil="true"/>
    <PPRSecondarySubCategory xmlns="16795be8-4374-4e44-895d-be6cdbab3e2c"/>
    <PPContentApprover xmlns="16795be8-4374-4e44-895d-be6cdbab3e2c">
      <UserInfo>
        <DisplayName>GILLAM, Maddison</DisplayName>
        <AccountId>19895</AccountId>
        <AccountType/>
      </UserInfo>
    </PPContentApprover>
    <PPRDescription xmlns="http://schemas.microsoft.com/sharepoint/v3">Overview for incoming tenants</PPRDescription>
  </documentManagement>
</p:properties>
</file>

<file path=customXml/itemProps1.xml><?xml version="1.0" encoding="utf-8"?>
<ds:datastoreItem xmlns:ds="http://schemas.openxmlformats.org/officeDocument/2006/customXml" ds:itemID="{1AB425E1-04E9-463E-8A07-FF34E0D61455}"/>
</file>

<file path=customXml/itemProps2.xml><?xml version="1.0" encoding="utf-8"?>
<ds:datastoreItem xmlns:ds="http://schemas.openxmlformats.org/officeDocument/2006/customXml" ds:itemID="{99578108-C59D-433F-BB85-94397A5A0E98}"/>
</file>

<file path=customXml/itemProps3.xml><?xml version="1.0" encoding="utf-8"?>
<ds:datastoreItem xmlns:ds="http://schemas.openxmlformats.org/officeDocument/2006/customXml" ds:itemID="{B7856D70-50D2-42F2-9EF3-71FA9ABB596F}"/>
</file>

<file path=docProps/app.xml><?xml version="1.0" encoding="utf-8"?>
<Properties xmlns="http://schemas.openxmlformats.org/officeDocument/2006/extended-properties" xmlns:vt="http://schemas.openxmlformats.org/officeDocument/2006/docPropsVTypes">
  <Template>Normal.dotm</Template>
  <TotalTime>24</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for incoming tenants</dc:title>
  <dc:subject/>
  <dc:creator>WARBY, Roxanne</dc:creator>
  <cp:keywords/>
  <dc:description/>
  <cp:lastModifiedBy>KURZ, Kristyn</cp:lastModifiedBy>
  <cp:revision>6</cp:revision>
  <dcterms:created xsi:type="dcterms:W3CDTF">2023-05-09T22:34:00Z</dcterms:created>
  <dcterms:modified xsi:type="dcterms:W3CDTF">2023-07-26T03:39:00Z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