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DB3" w14:textId="75626461" w:rsidR="008846AE" w:rsidRDefault="00B33C7A" w:rsidP="00190C24">
      <w:pPr>
        <w:pStyle w:val="Heading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10F84" wp14:editId="02CFB514">
                <wp:simplePos x="0" y="0"/>
                <wp:positionH relativeFrom="column">
                  <wp:posOffset>-770255</wp:posOffset>
                </wp:positionH>
                <wp:positionV relativeFrom="paragraph">
                  <wp:posOffset>-386080</wp:posOffset>
                </wp:positionV>
                <wp:extent cx="5858510" cy="1114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8FFF" w14:textId="77777777" w:rsidR="008846AE" w:rsidRPr="00F960A2" w:rsidRDefault="00101C92" w:rsidP="008846AE">
                            <w:pPr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4"/>
                              </w:rPr>
                              <w:t>Managing student absences and enforcing enrolment and attendance at state s</w:t>
                            </w:r>
                            <w:r w:rsidR="008846AE">
                              <w:rPr>
                                <w:b/>
                                <w:sz w:val="48"/>
                                <w:szCs w:val="44"/>
                              </w:rPr>
                              <w:t>chools</w:t>
                            </w:r>
                          </w:p>
                          <w:p w14:paraId="5F4C0AAB" w14:textId="77777777" w:rsidR="008846AE" w:rsidRDefault="00884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10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5pt;margin-top:-30.4pt;width:461.3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" stroked="f">
                <v:textbox>
                  <w:txbxContent>
                    <w:p w14:paraId="48A78FFF" w14:textId="77777777" w:rsidR="008846AE" w:rsidRPr="00F960A2" w:rsidRDefault="00101C92" w:rsidP="008846AE">
                      <w:pPr>
                        <w:rPr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4"/>
                        </w:rPr>
                        <w:t>Managing student absences and enforcing enrolment and attendance at state s</w:t>
                      </w:r>
                      <w:r w:rsidR="008846AE">
                        <w:rPr>
                          <w:b/>
                          <w:sz w:val="48"/>
                          <w:szCs w:val="44"/>
                        </w:rPr>
                        <w:t>chools</w:t>
                      </w:r>
                    </w:p>
                    <w:p w14:paraId="5F4C0AAB" w14:textId="77777777" w:rsidR="008846AE" w:rsidRDefault="008846AE"/>
                  </w:txbxContent>
                </v:textbox>
              </v:shape>
            </w:pict>
          </mc:Fallback>
        </mc:AlternateContent>
      </w:r>
    </w:p>
    <w:p w14:paraId="0F6DDD36" w14:textId="77777777" w:rsidR="007E3656" w:rsidRDefault="007E3656" w:rsidP="002A7EDA">
      <w:pPr>
        <w:pStyle w:val="Heading1"/>
        <w:spacing w:beforeLines="40" w:before="96" w:afterLines="40" w:after="96"/>
        <w:ind w:left="-993"/>
        <w:rPr>
          <w:b/>
          <w:sz w:val="28"/>
          <w:szCs w:val="28"/>
        </w:rPr>
      </w:pPr>
    </w:p>
    <w:p w14:paraId="04CC2AA6" w14:textId="77777777" w:rsidR="008846AE" w:rsidRPr="00F76C44" w:rsidRDefault="008846AE" w:rsidP="003239E3">
      <w:pPr>
        <w:pStyle w:val="Heading1"/>
        <w:spacing w:beforeLines="40" w:before="96" w:afterLines="50"/>
        <w:ind w:left="-992"/>
        <w:rPr>
          <w:b/>
          <w:sz w:val="28"/>
          <w:szCs w:val="28"/>
        </w:rPr>
      </w:pPr>
      <w:r w:rsidRPr="002A7EDA">
        <w:rPr>
          <w:b/>
          <w:sz w:val="28"/>
          <w:szCs w:val="28"/>
        </w:rPr>
        <w:t xml:space="preserve">Processes for enforcing parental obligation that a </w:t>
      </w:r>
      <w:r w:rsidR="004C59EA">
        <w:rPr>
          <w:b/>
          <w:sz w:val="28"/>
          <w:szCs w:val="28"/>
        </w:rPr>
        <w:t xml:space="preserve">child of compulsory school age is </w:t>
      </w:r>
      <w:r w:rsidR="004C59EA" w:rsidRPr="004C59EA">
        <w:rPr>
          <w:b/>
          <w:sz w:val="28"/>
          <w:szCs w:val="28"/>
          <w:u w:val="single"/>
        </w:rPr>
        <w:t>enrolled</w:t>
      </w:r>
      <w:r w:rsidR="004C59EA">
        <w:rPr>
          <w:b/>
          <w:sz w:val="28"/>
          <w:szCs w:val="28"/>
        </w:rPr>
        <w:t xml:space="preserve"> </w:t>
      </w:r>
      <w:r w:rsidR="007F2907">
        <w:rPr>
          <w:b/>
          <w:sz w:val="28"/>
          <w:szCs w:val="28"/>
        </w:rPr>
        <w:t>in</w:t>
      </w:r>
      <w:r w:rsidR="004C59EA">
        <w:rPr>
          <w:b/>
          <w:sz w:val="28"/>
          <w:szCs w:val="28"/>
        </w:rPr>
        <w:t xml:space="preserve"> a school</w:t>
      </w:r>
    </w:p>
    <w:p w14:paraId="278CE777" w14:textId="77777777" w:rsidR="004C59EA" w:rsidRPr="00437EC3" w:rsidRDefault="004C59EA" w:rsidP="00471D7F">
      <w:pPr>
        <w:keepLines/>
        <w:numPr>
          <w:ilvl w:val="0"/>
          <w:numId w:val="9"/>
        </w:numPr>
        <w:tabs>
          <w:tab w:val="clear" w:pos="360"/>
          <w:tab w:val="num" w:pos="-426"/>
          <w:tab w:val="left" w:pos="142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>Region identifies or is notified of a compulsory school age child who may not be enrolled.</w:t>
      </w:r>
    </w:p>
    <w:p w14:paraId="63988CCE" w14:textId="3EE3D8B7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417107">
        <w:rPr>
          <w:rFonts w:cs="Arial"/>
          <w:szCs w:val="22"/>
        </w:rPr>
        <w:t>Region checks whether the child is enrolled in any state or</w:t>
      </w:r>
      <w:r w:rsidRPr="006A22BF">
        <w:rPr>
          <w:rFonts w:cs="Arial"/>
          <w:sz w:val="20"/>
        </w:rPr>
        <w:t xml:space="preserve"> </w:t>
      </w:r>
      <w:hyperlink r:id="rId11" w:history="1">
        <w:r w:rsidRPr="00471D7F">
          <w:rPr>
            <w:rStyle w:val="Hyperlink"/>
          </w:rPr>
          <w:t>non-state school</w:t>
        </w:r>
      </w:hyperlink>
      <w:r w:rsidRPr="00417107">
        <w:rPr>
          <w:rFonts w:cs="Arial"/>
          <w:szCs w:val="22"/>
        </w:rPr>
        <w:t>,</w:t>
      </w:r>
      <w:r w:rsidRPr="006A22BF">
        <w:rPr>
          <w:rFonts w:cs="Arial"/>
          <w:sz w:val="20"/>
        </w:rPr>
        <w:t xml:space="preserve"> </w:t>
      </w:r>
      <w:r w:rsidRPr="00417107">
        <w:rPr>
          <w:rFonts w:cs="Arial"/>
          <w:szCs w:val="22"/>
        </w:rPr>
        <w:t xml:space="preserve">including searching </w:t>
      </w:r>
      <w:proofErr w:type="spellStart"/>
      <w:r w:rsidRPr="00417107">
        <w:rPr>
          <w:rFonts w:cs="Arial"/>
          <w:szCs w:val="22"/>
        </w:rPr>
        <w:t>OneSchool</w:t>
      </w:r>
      <w:proofErr w:type="spellEnd"/>
      <w:r w:rsidRPr="006A22BF">
        <w:rPr>
          <w:rFonts w:cs="Arial"/>
          <w:sz w:val="20"/>
        </w:rPr>
        <w:t xml:space="preserve">. </w:t>
      </w:r>
    </w:p>
    <w:p w14:paraId="6E5EAD19" w14:textId="77777777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>Region checks whether the child has been granted an exemption from schooling.</w:t>
      </w:r>
    </w:p>
    <w:p w14:paraId="4123985C" w14:textId="77777777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 xml:space="preserve">Region checks with the Home Education Unit </w:t>
      </w:r>
      <w:r w:rsidR="00F20440">
        <w:rPr>
          <w:rFonts w:cs="Arial"/>
          <w:szCs w:val="22"/>
        </w:rPr>
        <w:t xml:space="preserve">(by email) </w:t>
      </w:r>
      <w:r w:rsidRPr="00417107">
        <w:rPr>
          <w:rFonts w:cs="Arial"/>
          <w:szCs w:val="22"/>
        </w:rPr>
        <w:t>whether the child is registered or provisionally registered for home education</w:t>
      </w:r>
      <w:r w:rsidR="00F20440">
        <w:rPr>
          <w:rFonts w:cs="Arial"/>
          <w:szCs w:val="22"/>
        </w:rPr>
        <w:t xml:space="preserve"> and retains this confirmation</w:t>
      </w:r>
      <w:r w:rsidRPr="00417107">
        <w:rPr>
          <w:rFonts w:cs="Arial"/>
          <w:szCs w:val="22"/>
        </w:rPr>
        <w:t>.</w:t>
      </w:r>
    </w:p>
    <w:p w14:paraId="0D98DA11" w14:textId="77777777" w:rsidR="004C59EA" w:rsidRPr="00437EC3" w:rsidRDefault="00581330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>
        <w:rPr>
          <w:rFonts w:cs="Arial"/>
          <w:szCs w:val="22"/>
        </w:rPr>
        <w:t>Authorised officer in the r</w:t>
      </w:r>
      <w:r w:rsidR="004C59EA" w:rsidRPr="00417107">
        <w:rPr>
          <w:rFonts w:cs="Arial"/>
          <w:szCs w:val="22"/>
        </w:rPr>
        <w:t xml:space="preserve">egion requests Performance, Monitoring and Reporting to conduct a search for information regarding enrolment of child to ensure the child is not enrolled at another state school (including </w:t>
      </w:r>
      <w:r w:rsidR="002420F6">
        <w:rPr>
          <w:rFonts w:cs="Arial"/>
          <w:szCs w:val="22"/>
        </w:rPr>
        <w:t>a s</w:t>
      </w:r>
      <w:r w:rsidR="004C59EA" w:rsidRPr="00417107">
        <w:rPr>
          <w:rFonts w:cs="Arial"/>
          <w:szCs w:val="22"/>
        </w:rPr>
        <w:t xml:space="preserve">chool of </w:t>
      </w:r>
      <w:r w:rsidR="002420F6">
        <w:rPr>
          <w:rFonts w:cs="Arial"/>
          <w:szCs w:val="22"/>
        </w:rPr>
        <w:t>d</w:t>
      </w:r>
      <w:r w:rsidR="002420F6" w:rsidRPr="00417107">
        <w:rPr>
          <w:rFonts w:cs="Arial"/>
          <w:szCs w:val="22"/>
        </w:rPr>
        <w:t xml:space="preserve">istance </w:t>
      </w:r>
      <w:r w:rsidR="001107C8">
        <w:rPr>
          <w:rFonts w:cs="Arial"/>
          <w:szCs w:val="22"/>
        </w:rPr>
        <w:t>e</w:t>
      </w:r>
      <w:r w:rsidR="004C59EA" w:rsidRPr="00417107">
        <w:rPr>
          <w:rFonts w:cs="Arial"/>
          <w:szCs w:val="22"/>
        </w:rPr>
        <w:t xml:space="preserve">ducation). </w:t>
      </w:r>
    </w:p>
    <w:p w14:paraId="3BF26D15" w14:textId="1FDF8724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417107">
        <w:rPr>
          <w:rFonts w:cs="Arial"/>
          <w:szCs w:val="22"/>
        </w:rPr>
        <w:t xml:space="preserve">Authorised officer from region confirms that child is obliged to be enrolled and that </w:t>
      </w:r>
      <w:hyperlink r:id="rId12" w:history="1">
        <w:r w:rsidRPr="00471D7F">
          <w:rPr>
            <w:rStyle w:val="Hyperlink"/>
          </w:rPr>
          <w:t>no circumstances</w:t>
        </w:r>
      </w:hyperlink>
      <w:r>
        <w:t xml:space="preserve"> </w:t>
      </w:r>
      <w:r w:rsidRPr="00417107">
        <w:rPr>
          <w:rFonts w:cs="Arial"/>
          <w:szCs w:val="22"/>
        </w:rPr>
        <w:t xml:space="preserve">exist where the parent’s </w:t>
      </w:r>
      <w:r w:rsidR="009242E5">
        <w:rPr>
          <w:rFonts w:cs="Arial"/>
          <w:szCs w:val="22"/>
        </w:rPr>
        <w:t xml:space="preserve">legal </w:t>
      </w:r>
      <w:r w:rsidRPr="00417107">
        <w:rPr>
          <w:rFonts w:cs="Arial"/>
          <w:szCs w:val="22"/>
        </w:rPr>
        <w:t>obligation does not apply.</w:t>
      </w:r>
      <w:r w:rsidRPr="006A22BF">
        <w:rPr>
          <w:rFonts w:cs="Arial"/>
          <w:sz w:val="20"/>
        </w:rPr>
        <w:t xml:space="preserve"> </w:t>
      </w:r>
    </w:p>
    <w:p w14:paraId="5E4F8D3A" w14:textId="7787EB81" w:rsidR="004C59EA" w:rsidRPr="00BF2794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417107">
        <w:rPr>
          <w:rFonts w:cs="Arial"/>
          <w:szCs w:val="22"/>
        </w:rPr>
        <w:t>Authorised officer from region makes reasonable attempts to contact parent</w:t>
      </w:r>
      <w:r w:rsidR="00D238CD">
        <w:rPr>
          <w:rFonts w:cs="Arial"/>
          <w:szCs w:val="22"/>
        </w:rPr>
        <w:t>/</w:t>
      </w:r>
      <w:r w:rsidRPr="00417107">
        <w:rPr>
          <w:rFonts w:cs="Arial"/>
          <w:szCs w:val="22"/>
        </w:rPr>
        <w:t>s and determines if there is a reasonable excuse for not ensuring child is enrolled using the</w:t>
      </w:r>
      <w:r w:rsidRPr="008A422C">
        <w:rPr>
          <w:rFonts w:cs="Arial"/>
          <w:sz w:val="20"/>
        </w:rPr>
        <w:t xml:space="preserve"> </w:t>
      </w:r>
      <w:hyperlink r:id="rId13" w:history="1">
        <w:r w:rsidRPr="00471D7F">
          <w:rPr>
            <w:rStyle w:val="Hyperlink"/>
          </w:rPr>
          <w:t xml:space="preserve">Director-General’s Guideline for authorised officers on how to determine whether parents have a reasonable excuse for the purposes of ss.176 and 239 of the Education (General Provisions) Act 2006 </w:t>
        </w:r>
        <w:r w:rsidR="00A44E8B" w:rsidRPr="00471D7F">
          <w:rPr>
            <w:rStyle w:val="Hyperlink"/>
          </w:rPr>
          <w:t xml:space="preserve">(Qld) </w:t>
        </w:r>
        <w:r w:rsidRPr="00471D7F">
          <w:rPr>
            <w:rStyle w:val="Hyperlink"/>
          </w:rPr>
          <w:t>– 01/201</w:t>
        </w:r>
        <w:r w:rsidR="00B65D8E" w:rsidRPr="00471D7F">
          <w:rPr>
            <w:rStyle w:val="Hyperlink"/>
          </w:rPr>
          <w:t>8</w:t>
        </w:r>
      </w:hyperlink>
      <w:r w:rsidRPr="00417107">
        <w:rPr>
          <w:rFonts w:cs="Arial"/>
          <w:szCs w:val="22"/>
        </w:rPr>
        <w:t>.</w:t>
      </w:r>
    </w:p>
    <w:p w14:paraId="2CE9D8AA" w14:textId="77777777" w:rsidR="000E584B" w:rsidRPr="00BF2794" w:rsidRDefault="000E584B" w:rsidP="00471D7F">
      <w:pPr>
        <w:keepLines/>
        <w:numPr>
          <w:ilvl w:val="0"/>
          <w:numId w:val="9"/>
        </w:numPr>
        <w:tabs>
          <w:tab w:val="clear" w:pos="360"/>
          <w:tab w:val="num" w:pos="-426"/>
          <w:tab w:val="num" w:pos="-284"/>
        </w:tabs>
        <w:ind w:left="-426" w:hanging="567"/>
        <w:rPr>
          <w:rFonts w:cs="Arial"/>
          <w:szCs w:val="22"/>
        </w:rPr>
      </w:pPr>
      <w:r>
        <w:rPr>
          <w:rFonts w:cs="Arial"/>
          <w:szCs w:val="22"/>
        </w:rPr>
        <w:t>If the parent</w:t>
      </w:r>
      <w:r w:rsidR="00A35668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s have a reasonable excuse, </w:t>
      </w:r>
      <w:r w:rsidR="00AC75C1">
        <w:rPr>
          <w:rFonts w:cs="Arial"/>
          <w:szCs w:val="22"/>
        </w:rPr>
        <w:t xml:space="preserve">the authorised officer from the region should </w:t>
      </w:r>
      <w:r w:rsidR="00AC75C1" w:rsidRPr="00BF2794">
        <w:rPr>
          <w:rFonts w:cs="Arial"/>
          <w:szCs w:val="22"/>
        </w:rPr>
        <w:t>record all contacts made with the parent</w:t>
      </w:r>
      <w:r w:rsidR="00A35668">
        <w:rPr>
          <w:rFonts w:cs="Arial"/>
          <w:szCs w:val="22"/>
        </w:rPr>
        <w:t>/</w:t>
      </w:r>
      <w:r w:rsidR="00AC75C1" w:rsidRPr="00BF2794">
        <w:rPr>
          <w:rFonts w:cs="Arial"/>
          <w:szCs w:val="22"/>
        </w:rPr>
        <w:t>s and/or child including outcomes of investigations</w:t>
      </w:r>
      <w:r w:rsidR="00AC75C1">
        <w:rPr>
          <w:rFonts w:cs="Arial"/>
          <w:szCs w:val="22"/>
        </w:rPr>
        <w:t xml:space="preserve">, and </w:t>
      </w:r>
      <w:r>
        <w:rPr>
          <w:rFonts w:cs="Arial"/>
          <w:szCs w:val="22"/>
        </w:rPr>
        <w:t xml:space="preserve">the process for enforcing </w:t>
      </w:r>
      <w:r w:rsidR="00BF2794">
        <w:rPr>
          <w:rFonts w:cs="Arial"/>
          <w:szCs w:val="22"/>
        </w:rPr>
        <w:t>enrolment</w:t>
      </w:r>
      <w:r>
        <w:rPr>
          <w:rFonts w:cs="Arial"/>
          <w:szCs w:val="22"/>
        </w:rPr>
        <w:t xml:space="preserve"> does not proc</w:t>
      </w:r>
      <w:r w:rsidR="00AC75C1">
        <w:rPr>
          <w:rFonts w:cs="Arial"/>
          <w:szCs w:val="22"/>
        </w:rPr>
        <w:t>eed any further</w:t>
      </w:r>
      <w:r w:rsidR="00BF2794">
        <w:rPr>
          <w:rFonts w:cs="Arial"/>
          <w:szCs w:val="22"/>
        </w:rPr>
        <w:t>.</w:t>
      </w:r>
    </w:p>
    <w:p w14:paraId="2229CF7F" w14:textId="77777777" w:rsidR="004C59EA" w:rsidRPr="00437EC3" w:rsidRDefault="00BF2794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>
        <w:rPr>
          <w:rFonts w:cs="Arial"/>
          <w:szCs w:val="22"/>
        </w:rPr>
        <w:t>If the parent</w:t>
      </w:r>
      <w:r w:rsidR="00A35668">
        <w:rPr>
          <w:rFonts w:cs="Arial"/>
          <w:szCs w:val="22"/>
        </w:rPr>
        <w:t>/</w:t>
      </w:r>
      <w:r>
        <w:rPr>
          <w:rFonts w:cs="Arial"/>
          <w:szCs w:val="22"/>
        </w:rPr>
        <w:t>s do not have a reasonable excuse, r</w:t>
      </w:r>
      <w:r w:rsidR="004C59EA" w:rsidRPr="00417107">
        <w:rPr>
          <w:rFonts w:cs="Arial"/>
          <w:szCs w:val="22"/>
        </w:rPr>
        <w:t xml:space="preserve">egion makes reasonable attempts to contact both parents and offers support to family to enrol their child. All efforts – including records of meetings and conversations (e.g. phone calls, home visits, contact with local police, referral to </w:t>
      </w:r>
      <w:r w:rsidR="00A44E8B">
        <w:rPr>
          <w:rFonts w:cs="Arial"/>
          <w:szCs w:val="22"/>
        </w:rPr>
        <w:t>g</w:t>
      </w:r>
      <w:r w:rsidR="004C59EA" w:rsidRPr="00417107">
        <w:rPr>
          <w:rFonts w:cs="Arial"/>
          <w:szCs w:val="22"/>
        </w:rPr>
        <w:t xml:space="preserve">uidance </w:t>
      </w:r>
      <w:r w:rsidR="00A44E8B">
        <w:rPr>
          <w:rFonts w:cs="Arial"/>
          <w:szCs w:val="22"/>
        </w:rPr>
        <w:t>o</w:t>
      </w:r>
      <w:r w:rsidR="004C59EA" w:rsidRPr="00417107">
        <w:rPr>
          <w:rFonts w:cs="Arial"/>
          <w:szCs w:val="22"/>
        </w:rPr>
        <w:t xml:space="preserve">fficer, </w:t>
      </w:r>
      <w:r w:rsidR="00A44E8B">
        <w:rPr>
          <w:rFonts w:cs="Arial"/>
          <w:szCs w:val="22"/>
        </w:rPr>
        <w:t>y</w:t>
      </w:r>
      <w:r w:rsidR="004C59EA" w:rsidRPr="00417107">
        <w:rPr>
          <w:rFonts w:cs="Arial"/>
          <w:szCs w:val="22"/>
        </w:rPr>
        <w:t xml:space="preserve">outh </w:t>
      </w:r>
      <w:r w:rsidR="00A44E8B">
        <w:rPr>
          <w:rFonts w:cs="Arial"/>
          <w:szCs w:val="22"/>
        </w:rPr>
        <w:t>s</w:t>
      </w:r>
      <w:r w:rsidR="004C59EA" w:rsidRPr="00417107">
        <w:rPr>
          <w:rFonts w:cs="Arial"/>
          <w:szCs w:val="22"/>
        </w:rPr>
        <w:t xml:space="preserve">upport </w:t>
      </w:r>
      <w:r w:rsidR="00A44E8B">
        <w:rPr>
          <w:rFonts w:cs="Arial"/>
          <w:szCs w:val="22"/>
        </w:rPr>
        <w:t>c</w:t>
      </w:r>
      <w:r w:rsidR="004C59EA" w:rsidRPr="00417107">
        <w:rPr>
          <w:rFonts w:cs="Arial"/>
          <w:szCs w:val="22"/>
        </w:rPr>
        <w:t>oordinator or other support worker) – must be documented.</w:t>
      </w:r>
    </w:p>
    <w:p w14:paraId="3909F788" w14:textId="1D67D56F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417107">
        <w:rPr>
          <w:rFonts w:cs="Arial"/>
          <w:szCs w:val="22"/>
        </w:rPr>
        <w:t>Region considers whether an</w:t>
      </w:r>
      <w:r w:rsidRPr="00E62659">
        <w:rPr>
          <w:rFonts w:cs="Arial"/>
          <w:sz w:val="20"/>
        </w:rPr>
        <w:t xml:space="preserve"> </w:t>
      </w:r>
      <w:hyperlink r:id="rId14" w:history="1">
        <w:r w:rsidRPr="00417107">
          <w:rPr>
            <w:rStyle w:val="Hyperlink"/>
            <w:rFonts w:cs="Arial"/>
            <w:szCs w:val="22"/>
          </w:rPr>
          <w:t>exemption from schooling</w:t>
        </w:r>
      </w:hyperlink>
      <w:r w:rsidRPr="00417107">
        <w:rPr>
          <w:rFonts w:cs="Arial"/>
          <w:szCs w:val="22"/>
        </w:rPr>
        <w:t>,</w:t>
      </w:r>
      <w:r w:rsidRPr="00417107">
        <w:rPr>
          <w:rFonts w:cs="Arial"/>
          <w:color w:val="FF0000"/>
          <w:szCs w:val="22"/>
        </w:rPr>
        <w:t xml:space="preserve"> </w:t>
      </w:r>
      <w:hyperlink r:id="rId15" w:history="1">
        <w:r w:rsidRPr="00417107">
          <w:rPr>
            <w:rStyle w:val="Hyperlink"/>
            <w:rFonts w:cs="Arial"/>
            <w:szCs w:val="22"/>
          </w:rPr>
          <w:t>flexible arrangement</w:t>
        </w:r>
      </w:hyperlink>
      <w:r w:rsidRPr="00417107">
        <w:rPr>
          <w:szCs w:val="22"/>
        </w:rPr>
        <w:t xml:space="preserve"> </w:t>
      </w:r>
      <w:r w:rsidRPr="00417107">
        <w:rPr>
          <w:rFonts w:cs="Arial"/>
          <w:szCs w:val="22"/>
        </w:rPr>
        <w:t xml:space="preserve">or </w:t>
      </w:r>
      <w:hyperlink r:id="rId16" w:history="1">
        <w:r w:rsidRPr="00471D7F">
          <w:rPr>
            <w:rStyle w:val="Hyperlink"/>
          </w:rPr>
          <w:t>alteration to a student’s educational program</w:t>
        </w:r>
      </w:hyperlink>
      <w:r>
        <w:t xml:space="preserve"> </w:t>
      </w:r>
      <w:r w:rsidRPr="00417107">
        <w:rPr>
          <w:rFonts w:cs="Arial"/>
          <w:szCs w:val="22"/>
        </w:rPr>
        <w:t>is appropriate for the child.</w:t>
      </w:r>
      <w:r w:rsidRPr="008A422C">
        <w:rPr>
          <w:rFonts w:cs="Arial"/>
          <w:sz w:val="20"/>
        </w:rPr>
        <w:t xml:space="preserve"> </w:t>
      </w:r>
    </w:p>
    <w:p w14:paraId="4E69DF51" w14:textId="3900597B" w:rsidR="00C3796F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417107">
        <w:rPr>
          <w:rFonts w:cs="Arial"/>
          <w:szCs w:val="22"/>
        </w:rPr>
        <w:t>If the child is not enrolled within two weeks (10 school days) of the first contact with the parents, an authorised officer sends by regular and registered post, a</w:t>
      </w:r>
      <w:r w:rsidRPr="00E62659">
        <w:rPr>
          <w:rFonts w:cs="Arial"/>
          <w:sz w:val="20"/>
        </w:rPr>
        <w:t xml:space="preserve"> </w:t>
      </w:r>
      <w:hyperlink r:id="rId17" w:history="1">
        <w:r w:rsidRPr="00471D7F">
          <w:rPr>
            <w:rStyle w:val="Hyperlink"/>
          </w:rPr>
          <w:t>Notice (Form 1 – Failure to enrol</w:t>
        </w:r>
        <w:r w:rsidRPr="0047165B">
          <w:rPr>
            <w:rStyle w:val="Hyperlink"/>
            <w:rFonts w:cs="Arial"/>
            <w:b/>
            <w:szCs w:val="22"/>
          </w:rPr>
          <w:t xml:space="preserve"> </w:t>
        </w:r>
        <w:r w:rsidRPr="00471D7F">
          <w:rPr>
            <w:rStyle w:val="Hyperlink"/>
            <w:rFonts w:cs="Arial"/>
            <w:szCs w:val="22"/>
          </w:rPr>
          <w:t>(s</w:t>
        </w:r>
        <w:r w:rsidR="009242E5" w:rsidRPr="00471D7F">
          <w:rPr>
            <w:rStyle w:val="Hyperlink"/>
            <w:rFonts w:cs="Arial"/>
            <w:szCs w:val="22"/>
          </w:rPr>
          <w:t>.</w:t>
        </w:r>
        <w:r w:rsidRPr="00471D7F">
          <w:rPr>
            <w:rStyle w:val="Hyperlink"/>
            <w:rFonts w:cs="Arial"/>
            <w:szCs w:val="22"/>
          </w:rPr>
          <w:t>178(2))</w:t>
        </w:r>
      </w:hyperlink>
      <w:r w:rsidRPr="00471D7F">
        <w:rPr>
          <w:rStyle w:val="Hyperlink"/>
          <w:rFonts w:cs="Arial"/>
          <w:color w:val="FF0000"/>
          <w:szCs w:val="22"/>
          <w:u w:val="none"/>
        </w:rPr>
        <w:t xml:space="preserve"> </w:t>
      </w:r>
      <w:r w:rsidRPr="00417107">
        <w:rPr>
          <w:rFonts w:cs="Arial"/>
          <w:szCs w:val="22"/>
        </w:rPr>
        <w:t>to parents outlining parents’ legal obligation and inviting parents to attend a meeting to discuss the situation.</w:t>
      </w:r>
      <w:r w:rsidRPr="006A22BF">
        <w:rPr>
          <w:rFonts w:cs="Arial"/>
          <w:sz w:val="20"/>
        </w:rPr>
        <w:t xml:space="preserve"> </w:t>
      </w:r>
    </w:p>
    <w:p w14:paraId="4EA90822" w14:textId="77777777" w:rsidR="00C3796F" w:rsidRPr="00C3796F" w:rsidRDefault="00C3796F" w:rsidP="0018179C">
      <w:pPr>
        <w:keepLines/>
        <w:tabs>
          <w:tab w:val="num" w:pos="-142"/>
        </w:tabs>
        <w:ind w:left="-426" w:hanging="709"/>
        <w:rPr>
          <w:rFonts w:cs="Arial"/>
          <w:sz w:val="20"/>
        </w:rPr>
      </w:pPr>
      <w:r w:rsidRPr="00C3796F">
        <w:rPr>
          <w:rFonts w:cs="Arial"/>
          <w:b/>
          <w:i/>
          <w:szCs w:val="22"/>
        </w:rPr>
        <w:t>NOTE</w:t>
      </w:r>
      <w:r w:rsidRPr="00C3796F">
        <w:rPr>
          <w:rFonts w:cs="Arial"/>
          <w:i/>
          <w:szCs w:val="22"/>
        </w:rPr>
        <w:t xml:space="preserve">: </w:t>
      </w:r>
      <w:r w:rsidRPr="00C3796F">
        <w:rPr>
          <w:i/>
        </w:rPr>
        <w:t xml:space="preserve">For clarity, it is recommended that separate notices are prepared for each individual </w:t>
      </w:r>
      <w:r>
        <w:rPr>
          <w:i/>
        </w:rPr>
        <w:t>child</w:t>
      </w:r>
      <w:r w:rsidR="002965A6">
        <w:rPr>
          <w:i/>
        </w:rPr>
        <w:t xml:space="preserve"> </w:t>
      </w:r>
      <w:r w:rsidR="00C31364">
        <w:rPr>
          <w:i/>
        </w:rPr>
        <w:t>when</w:t>
      </w:r>
      <w:r w:rsidR="002965A6">
        <w:rPr>
          <w:i/>
        </w:rPr>
        <w:t xml:space="preserve"> in the same family</w:t>
      </w:r>
      <w:r w:rsidR="00AC75C1">
        <w:rPr>
          <w:i/>
        </w:rPr>
        <w:t xml:space="preserve">, and </w:t>
      </w:r>
      <w:r w:rsidR="00AC75C1">
        <w:rPr>
          <w:rFonts w:cs="Arial"/>
          <w:i/>
          <w:szCs w:val="22"/>
        </w:rPr>
        <w:t>to each parent if they are residing at different addresses</w:t>
      </w:r>
      <w:r w:rsidRPr="00C3796F">
        <w:rPr>
          <w:i/>
        </w:rPr>
        <w:t>.</w:t>
      </w:r>
    </w:p>
    <w:p w14:paraId="45A9D4CC" w14:textId="77777777" w:rsidR="00513127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>Authorised officer keeps a signed copy of the Notice (Form 1)</w:t>
      </w:r>
      <w:r w:rsidR="009D1BDB">
        <w:rPr>
          <w:rFonts w:cs="Arial"/>
          <w:szCs w:val="22"/>
        </w:rPr>
        <w:t>,</w:t>
      </w:r>
      <w:r w:rsidRPr="00417107">
        <w:rPr>
          <w:rFonts w:cs="Arial"/>
          <w:szCs w:val="22"/>
        </w:rPr>
        <w:t xml:space="preserve"> records date, time and by whom letter was posted</w:t>
      </w:r>
      <w:r w:rsidR="009D1BDB">
        <w:rPr>
          <w:rFonts w:cs="Arial"/>
          <w:szCs w:val="22"/>
        </w:rPr>
        <w:t xml:space="preserve">, and retains the </w:t>
      </w:r>
      <w:r w:rsidR="009D1BDB" w:rsidRPr="00D25ED4">
        <w:rPr>
          <w:rFonts w:eastAsia="Times New Roman" w:cs="Arial"/>
        </w:rPr>
        <w:t xml:space="preserve">registered </w:t>
      </w:r>
      <w:proofErr w:type="spellStart"/>
      <w:r w:rsidR="009D1BDB" w:rsidRPr="00D25ED4">
        <w:rPr>
          <w:rFonts w:eastAsia="Times New Roman" w:cs="Arial"/>
        </w:rPr>
        <w:t>post delivery</w:t>
      </w:r>
      <w:proofErr w:type="spellEnd"/>
      <w:r w:rsidR="009D1BDB" w:rsidRPr="00D25ED4">
        <w:rPr>
          <w:rFonts w:eastAsia="Times New Roman" w:cs="Arial"/>
        </w:rPr>
        <w:t xml:space="preserve"> confirmation receipt</w:t>
      </w:r>
      <w:r w:rsidR="009D1BDB">
        <w:rPr>
          <w:rFonts w:eastAsia="Times New Roman" w:cs="Arial"/>
        </w:rPr>
        <w:t xml:space="preserve"> from </w:t>
      </w:r>
      <w:r w:rsidR="00A44E8B">
        <w:rPr>
          <w:rFonts w:eastAsia="Times New Roman" w:cs="Arial"/>
        </w:rPr>
        <w:t>Australia Post.</w:t>
      </w:r>
    </w:p>
    <w:p w14:paraId="1F5564C9" w14:textId="77777777" w:rsidR="008E0286" w:rsidRPr="008E0286" w:rsidRDefault="008E0286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8E0286">
        <w:rPr>
          <w:rFonts w:cs="Arial"/>
          <w:szCs w:val="22"/>
        </w:rPr>
        <w:t xml:space="preserve">If after sending the Notice (Form 1): </w:t>
      </w:r>
    </w:p>
    <w:p w14:paraId="2A084238" w14:textId="77777777" w:rsidR="008E0286" w:rsidRPr="008E0286" w:rsidRDefault="008E0286" w:rsidP="00471D7F">
      <w:pPr>
        <w:keepLines/>
        <w:numPr>
          <w:ilvl w:val="0"/>
          <w:numId w:val="15"/>
        </w:numPr>
        <w:rPr>
          <w:rFonts w:cs="Arial"/>
          <w:szCs w:val="22"/>
        </w:rPr>
      </w:pPr>
      <w:r w:rsidRPr="008E0286">
        <w:rPr>
          <w:rFonts w:cs="Arial"/>
          <w:szCs w:val="22"/>
        </w:rPr>
        <w:t xml:space="preserve">a meeting occurred with the parents, and there is no change in circumstances within one week (5 school days) of this meeting; or </w:t>
      </w:r>
    </w:p>
    <w:p w14:paraId="19E137F6" w14:textId="449E0437" w:rsidR="003F3AB7" w:rsidRPr="00471D7F" w:rsidRDefault="008E0286" w:rsidP="00471D7F">
      <w:pPr>
        <w:keepLines/>
        <w:numPr>
          <w:ilvl w:val="0"/>
          <w:numId w:val="15"/>
        </w:numPr>
        <w:tabs>
          <w:tab w:val="num" w:pos="-426"/>
        </w:tabs>
        <w:ind w:left="289" w:hanging="357"/>
        <w:rPr>
          <w:rFonts w:cs="Arial"/>
          <w:szCs w:val="22"/>
        </w:rPr>
      </w:pPr>
      <w:r w:rsidRPr="008E0286">
        <w:rPr>
          <w:rFonts w:cs="Arial"/>
          <w:szCs w:val="22"/>
        </w:rPr>
        <w:lastRenderedPageBreak/>
        <w:t xml:space="preserve">a meeting did not occur with the parents, and there is no change in circumstances within one week (5 school days) of sending the Notice, </w:t>
      </w:r>
      <w:r w:rsidRPr="00471D7F">
        <w:rPr>
          <w:rFonts w:cs="Arial"/>
          <w:szCs w:val="22"/>
        </w:rPr>
        <w:t xml:space="preserve">an authorised officer  sends by regular and registered post </w:t>
      </w:r>
      <w:r w:rsidRPr="00A93664">
        <w:t>a</w:t>
      </w:r>
      <w:r w:rsidRPr="00471D7F">
        <w:rPr>
          <w:rStyle w:val="Hyperlink"/>
        </w:rPr>
        <w:t xml:space="preserve"> </w:t>
      </w:r>
      <w:hyperlink r:id="rId18" w:history="1">
        <w:r w:rsidRPr="00471D7F">
          <w:rPr>
            <w:rStyle w:val="Hyperlink"/>
          </w:rPr>
          <w:t>Warning Notice (Form 2 – Failure to enrol</w:t>
        </w:r>
        <w:r w:rsidRPr="00471D7F">
          <w:rPr>
            <w:rStyle w:val="Hyperlink"/>
            <w:rFonts w:cs="Arial"/>
            <w:b/>
            <w:szCs w:val="22"/>
          </w:rPr>
          <w:t xml:space="preserve"> </w:t>
        </w:r>
        <w:r w:rsidRPr="00471D7F">
          <w:rPr>
            <w:rStyle w:val="Hyperlink"/>
            <w:rFonts w:cs="Arial"/>
            <w:szCs w:val="22"/>
          </w:rPr>
          <w:t>(s178(4))</w:t>
        </w:r>
      </w:hyperlink>
      <w:r w:rsidRPr="00471D7F">
        <w:rPr>
          <w:rFonts w:cs="Arial"/>
          <w:szCs w:val="22"/>
        </w:rPr>
        <w:t xml:space="preserve"> advising parents of their legal obligations and offering a meeting to discuss support available to address failure to enrol.</w:t>
      </w:r>
    </w:p>
    <w:p w14:paraId="702C9522" w14:textId="77777777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>Authorised officer keeps a signed copy of the Warning Notice (Form 2)</w:t>
      </w:r>
      <w:r w:rsidR="00A44E8B">
        <w:rPr>
          <w:rFonts w:cs="Arial"/>
          <w:szCs w:val="22"/>
        </w:rPr>
        <w:t>,</w:t>
      </w:r>
      <w:r w:rsidRPr="00417107">
        <w:rPr>
          <w:rFonts w:cs="Arial"/>
          <w:szCs w:val="22"/>
        </w:rPr>
        <w:t xml:space="preserve"> records date, time and by whom letter was posted</w:t>
      </w:r>
      <w:r w:rsidR="00A44E8B">
        <w:rPr>
          <w:rFonts w:cs="Arial"/>
          <w:szCs w:val="22"/>
        </w:rPr>
        <w:t xml:space="preserve">, and retains the </w:t>
      </w:r>
      <w:r w:rsidR="00A44E8B" w:rsidRPr="00D25ED4">
        <w:rPr>
          <w:rFonts w:eastAsia="Times New Roman" w:cs="Arial"/>
        </w:rPr>
        <w:t xml:space="preserve">registered </w:t>
      </w:r>
      <w:proofErr w:type="spellStart"/>
      <w:r w:rsidR="00A44E8B" w:rsidRPr="00D25ED4">
        <w:rPr>
          <w:rFonts w:eastAsia="Times New Roman" w:cs="Arial"/>
        </w:rPr>
        <w:t>post delivery</w:t>
      </w:r>
      <w:proofErr w:type="spellEnd"/>
      <w:r w:rsidR="00A44E8B" w:rsidRPr="00D25ED4">
        <w:rPr>
          <w:rFonts w:eastAsia="Times New Roman" w:cs="Arial"/>
        </w:rPr>
        <w:t xml:space="preserve"> confirmation receipt</w:t>
      </w:r>
      <w:r w:rsidR="00A44E8B">
        <w:rPr>
          <w:rFonts w:eastAsia="Times New Roman" w:cs="Arial"/>
        </w:rPr>
        <w:t xml:space="preserve"> from Australia Post.</w:t>
      </w:r>
    </w:p>
    <w:p w14:paraId="79621F1A" w14:textId="77777777" w:rsidR="004C59EA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417107">
        <w:rPr>
          <w:rFonts w:cs="Arial"/>
          <w:szCs w:val="22"/>
        </w:rPr>
        <w:t xml:space="preserve">If the child is still not enrolled within one week (5 school days) of sending the Warning Notice (Form 2), an authorised officer may seek the </w:t>
      </w:r>
      <w:r w:rsidR="00A44E8B">
        <w:rPr>
          <w:rFonts w:cs="Arial"/>
          <w:szCs w:val="22"/>
        </w:rPr>
        <w:t>r</w:t>
      </w:r>
      <w:r w:rsidRPr="00417107">
        <w:rPr>
          <w:rFonts w:cs="Arial"/>
          <w:szCs w:val="22"/>
        </w:rPr>
        <w:t xml:space="preserve">egional </w:t>
      </w:r>
      <w:r w:rsidR="00A44E8B">
        <w:rPr>
          <w:rFonts w:cs="Arial"/>
          <w:szCs w:val="22"/>
        </w:rPr>
        <w:t>d</w:t>
      </w:r>
      <w:r w:rsidRPr="00417107">
        <w:rPr>
          <w:rFonts w:cs="Arial"/>
          <w:szCs w:val="22"/>
        </w:rPr>
        <w:t>irector’s consent to prosecute.</w:t>
      </w:r>
    </w:p>
    <w:p w14:paraId="44501C0F" w14:textId="77777777" w:rsidR="004C59EA" w:rsidRPr="006A22BF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 w:val="20"/>
        </w:rPr>
      </w:pPr>
      <w:r w:rsidRPr="002C7D3D">
        <w:rPr>
          <w:rFonts w:cs="Arial"/>
          <w:szCs w:val="22"/>
        </w:rPr>
        <w:t>Consent to prosecute should only be sought</w:t>
      </w:r>
      <w:r w:rsidRPr="006A22BF">
        <w:rPr>
          <w:rFonts w:cs="Arial"/>
          <w:sz w:val="20"/>
        </w:rPr>
        <w:t>:</w:t>
      </w:r>
    </w:p>
    <w:p w14:paraId="50514FC7" w14:textId="77777777" w:rsidR="004C59EA" w:rsidRPr="00417107" w:rsidRDefault="004C59EA" w:rsidP="00471D7F">
      <w:pPr>
        <w:keepLines/>
        <w:numPr>
          <w:ilvl w:val="0"/>
          <w:numId w:val="16"/>
        </w:numPr>
        <w:rPr>
          <w:rFonts w:cs="Arial"/>
          <w:szCs w:val="22"/>
        </w:rPr>
      </w:pPr>
      <w:r w:rsidRPr="00417107">
        <w:rPr>
          <w:rFonts w:cs="Arial"/>
          <w:szCs w:val="22"/>
        </w:rPr>
        <w:t xml:space="preserve">if the compulsory schooling requirement applies; </w:t>
      </w:r>
    </w:p>
    <w:p w14:paraId="5A6E6773" w14:textId="77777777" w:rsidR="004C59EA" w:rsidRPr="00417107" w:rsidRDefault="004C59EA" w:rsidP="00471D7F">
      <w:pPr>
        <w:keepLines/>
        <w:numPr>
          <w:ilvl w:val="0"/>
          <w:numId w:val="16"/>
        </w:numPr>
        <w:rPr>
          <w:rFonts w:cs="Arial"/>
          <w:szCs w:val="22"/>
        </w:rPr>
      </w:pPr>
      <w:r w:rsidRPr="00417107">
        <w:rPr>
          <w:rFonts w:cs="Arial"/>
          <w:szCs w:val="22"/>
        </w:rPr>
        <w:t>after all reasonable attempts to assist parents to enrol the child have been made; and</w:t>
      </w:r>
    </w:p>
    <w:p w14:paraId="58837EAB" w14:textId="73FAD557" w:rsidR="004C59EA" w:rsidRPr="00437EC3" w:rsidRDefault="004C59EA" w:rsidP="00471D7F">
      <w:pPr>
        <w:keepLines/>
        <w:numPr>
          <w:ilvl w:val="0"/>
          <w:numId w:val="16"/>
        </w:numPr>
        <w:rPr>
          <w:rFonts w:cs="Arial"/>
          <w:color w:val="0000FF"/>
          <w:sz w:val="20"/>
        </w:rPr>
      </w:pPr>
      <w:r w:rsidRPr="002C7D3D">
        <w:rPr>
          <w:rFonts w:cs="Arial"/>
          <w:szCs w:val="22"/>
        </w:rPr>
        <w:t xml:space="preserve">if there is no </w:t>
      </w:r>
      <w:hyperlink r:id="rId19" w:history="1">
        <w:r w:rsidRPr="00471D7F">
          <w:rPr>
            <w:rStyle w:val="Hyperlink"/>
          </w:rPr>
          <w:t>reasonable excuse</w:t>
        </w:r>
      </w:hyperlink>
      <w:r w:rsidRPr="006A22BF">
        <w:rPr>
          <w:rFonts w:cs="Arial"/>
          <w:sz w:val="20"/>
        </w:rPr>
        <w:t xml:space="preserve"> </w:t>
      </w:r>
      <w:r w:rsidRPr="002C7D3D">
        <w:rPr>
          <w:rFonts w:cs="Arial"/>
          <w:szCs w:val="22"/>
        </w:rPr>
        <w:t>for the child not being enrolled.</w:t>
      </w:r>
    </w:p>
    <w:p w14:paraId="479F426F" w14:textId="77777777" w:rsidR="00471D7F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5" w:hanging="567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To gain consent from the </w:t>
      </w:r>
      <w:r w:rsidR="00A44E8B">
        <w:rPr>
          <w:rFonts w:cs="Arial"/>
          <w:szCs w:val="22"/>
        </w:rPr>
        <w:t>r</w:t>
      </w:r>
      <w:r w:rsidRPr="002C7D3D">
        <w:rPr>
          <w:rFonts w:cs="Arial"/>
          <w:szCs w:val="22"/>
        </w:rPr>
        <w:t xml:space="preserve">egional </w:t>
      </w:r>
      <w:r w:rsidR="00A44E8B">
        <w:rPr>
          <w:rFonts w:cs="Arial"/>
          <w:szCs w:val="22"/>
        </w:rPr>
        <w:t>d</w:t>
      </w:r>
      <w:r w:rsidRPr="002C7D3D">
        <w:rPr>
          <w:rFonts w:cs="Arial"/>
          <w:szCs w:val="22"/>
        </w:rPr>
        <w:t>irector to prosecute, the authorised officer:</w:t>
      </w:r>
    </w:p>
    <w:p w14:paraId="43C46DC5" w14:textId="73B31B01" w:rsidR="004C59EA" w:rsidRPr="00471D7F" w:rsidRDefault="004C59EA" w:rsidP="00471D7F">
      <w:pPr>
        <w:keepLines/>
        <w:numPr>
          <w:ilvl w:val="0"/>
          <w:numId w:val="19"/>
        </w:numPr>
        <w:tabs>
          <w:tab w:val="clear" w:pos="162"/>
          <w:tab w:val="num" w:pos="284"/>
        </w:tabs>
        <w:ind w:left="164" w:hanging="164"/>
        <w:rPr>
          <w:rFonts w:cs="Arial"/>
          <w:szCs w:val="22"/>
        </w:rPr>
      </w:pPr>
      <w:r w:rsidRPr="00471D7F">
        <w:rPr>
          <w:rFonts w:cs="Arial"/>
          <w:szCs w:val="22"/>
        </w:rPr>
        <w:t>completes</w:t>
      </w:r>
      <w:r w:rsidRPr="00471D7F">
        <w:rPr>
          <w:rFonts w:cs="Arial"/>
          <w:sz w:val="20"/>
        </w:rPr>
        <w:t xml:space="preserve"> </w:t>
      </w:r>
      <w:hyperlink r:id="rId20" w:history="1">
        <w:r w:rsidRPr="00471D7F">
          <w:rPr>
            <w:rStyle w:val="Hyperlink"/>
          </w:rPr>
          <w:t>Template 3 – Failure to enrol – General Briefing Note (GBN)</w:t>
        </w:r>
      </w:hyperlink>
      <w:r w:rsidRPr="00471D7F">
        <w:rPr>
          <w:rFonts w:cs="Arial"/>
          <w:szCs w:val="22"/>
        </w:rPr>
        <w:t>;</w:t>
      </w:r>
    </w:p>
    <w:p w14:paraId="61B4096A" w14:textId="77777777" w:rsidR="00471D7F" w:rsidRPr="00471D7F" w:rsidRDefault="004C59EA" w:rsidP="00471D7F">
      <w:pPr>
        <w:keepLines/>
        <w:numPr>
          <w:ilvl w:val="0"/>
          <w:numId w:val="19"/>
        </w:numPr>
        <w:tabs>
          <w:tab w:val="clear" w:pos="162"/>
          <w:tab w:val="num" w:pos="284"/>
        </w:tabs>
        <w:spacing w:after="0"/>
        <w:ind w:hanging="162"/>
        <w:rPr>
          <w:rFonts w:cs="Arial"/>
          <w:sz w:val="20"/>
        </w:rPr>
      </w:pPr>
      <w:r w:rsidRPr="002C7D3D">
        <w:rPr>
          <w:rFonts w:cs="Arial"/>
          <w:szCs w:val="22"/>
        </w:rPr>
        <w:t>scans completed Chief Executive’s Delegate</w:t>
      </w:r>
      <w:r w:rsidR="00471D7F">
        <w:rPr>
          <w:rFonts w:cs="Arial"/>
          <w:szCs w:val="22"/>
        </w:rPr>
        <w:t>’s Certificate template and its</w:t>
      </w:r>
    </w:p>
    <w:p w14:paraId="52DA0218" w14:textId="5E4448D5" w:rsidR="00471D7F" w:rsidRDefault="004C59EA" w:rsidP="00471D7F">
      <w:pPr>
        <w:keepLines/>
        <w:spacing w:after="0"/>
        <w:ind w:left="426" w:hanging="122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attachment, </w:t>
      </w:r>
      <w:hyperlink r:id="rId21" w:history="1">
        <w:r w:rsidRPr="00471D7F">
          <w:rPr>
            <w:rStyle w:val="Hyperlink"/>
            <w:rFonts w:cs="Arial"/>
            <w:szCs w:val="22"/>
          </w:rPr>
          <w:t>Instrument of Authorisation</w:t>
        </w:r>
      </w:hyperlink>
      <w:r w:rsidRPr="001C71DE">
        <w:rPr>
          <w:rStyle w:val="Hyperlink"/>
          <w:rFonts w:cs="Arial"/>
          <w:szCs w:val="22"/>
          <w:u w:val="none"/>
        </w:rPr>
        <w:t>,</w:t>
      </w:r>
      <w:r w:rsidRPr="001C71DE">
        <w:rPr>
          <w:rStyle w:val="Hyperlink"/>
          <w:rFonts w:cs="Arial"/>
          <w:sz w:val="20"/>
          <w:u w:val="none"/>
        </w:rPr>
        <w:t xml:space="preserve"> </w:t>
      </w:r>
      <w:r w:rsidRPr="002C7D3D">
        <w:rPr>
          <w:rFonts w:cs="Arial"/>
          <w:szCs w:val="22"/>
        </w:rPr>
        <w:t>and sa</w:t>
      </w:r>
      <w:r w:rsidR="00471D7F">
        <w:rPr>
          <w:rFonts w:cs="Arial"/>
          <w:szCs w:val="22"/>
        </w:rPr>
        <w:t>ves this as Attachment 1 to the</w:t>
      </w:r>
    </w:p>
    <w:p w14:paraId="108F43B7" w14:textId="77777777" w:rsidR="004C59EA" w:rsidRPr="006A22BF" w:rsidRDefault="004C59EA" w:rsidP="00471D7F">
      <w:pPr>
        <w:keepLines/>
        <w:ind w:left="431" w:hanging="125"/>
        <w:rPr>
          <w:rFonts w:cs="Arial"/>
          <w:sz w:val="20"/>
        </w:rPr>
      </w:pPr>
      <w:r w:rsidRPr="002C7D3D">
        <w:rPr>
          <w:rFonts w:cs="Arial"/>
          <w:szCs w:val="22"/>
        </w:rPr>
        <w:t xml:space="preserve">GBN in </w:t>
      </w:r>
      <w:r w:rsidR="00D4182E">
        <w:rPr>
          <w:rFonts w:cs="Arial"/>
          <w:szCs w:val="22"/>
        </w:rPr>
        <w:t>HPE</w:t>
      </w:r>
      <w:r w:rsidRPr="002C7D3D">
        <w:rPr>
          <w:rFonts w:cs="Arial"/>
          <w:szCs w:val="22"/>
        </w:rPr>
        <w:t>; and</w:t>
      </w:r>
    </w:p>
    <w:p w14:paraId="632573A8" w14:textId="77777777" w:rsidR="00471D7F" w:rsidRDefault="004C59EA" w:rsidP="00471D7F">
      <w:pPr>
        <w:keepLines/>
        <w:numPr>
          <w:ilvl w:val="0"/>
          <w:numId w:val="19"/>
        </w:numPr>
        <w:tabs>
          <w:tab w:val="clear" w:pos="162"/>
          <w:tab w:val="num" w:pos="284"/>
        </w:tabs>
        <w:spacing w:after="0"/>
        <w:ind w:left="164" w:hanging="164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attaches </w:t>
      </w:r>
      <w:r w:rsidR="00E91F96">
        <w:rPr>
          <w:rFonts w:eastAsia="Times New Roman" w:cs="Arial"/>
        </w:rPr>
        <w:t>relevant sections</w:t>
      </w:r>
      <w:r w:rsidR="00E91F96" w:rsidRPr="002F29F8">
        <w:rPr>
          <w:rFonts w:eastAsia="Times New Roman" w:cs="Arial"/>
        </w:rPr>
        <w:t xml:space="preserve"> </w:t>
      </w:r>
      <w:r w:rsidR="00E91F96">
        <w:rPr>
          <w:rFonts w:eastAsia="Times New Roman" w:cs="Arial"/>
        </w:rPr>
        <w:t>(ss.179, 180, 242, 407, 4</w:t>
      </w:r>
      <w:r w:rsidR="00471D7F">
        <w:rPr>
          <w:rFonts w:eastAsia="Times New Roman" w:cs="Arial"/>
        </w:rPr>
        <w:t>10, cover page and</w:t>
      </w:r>
    </w:p>
    <w:p w14:paraId="2ED2EC5E" w14:textId="1CF000F3" w:rsidR="004C59EA" w:rsidRPr="00471D7F" w:rsidRDefault="00A44E8B" w:rsidP="00471D7F">
      <w:pPr>
        <w:keepLines/>
        <w:ind w:left="284"/>
        <w:rPr>
          <w:rFonts w:cs="Arial"/>
          <w:szCs w:val="22"/>
        </w:rPr>
      </w:pPr>
      <w:r w:rsidRPr="00471D7F">
        <w:rPr>
          <w:rFonts w:eastAsia="Times New Roman" w:cs="Arial"/>
        </w:rPr>
        <w:t>d</w:t>
      </w:r>
      <w:r w:rsidR="00E91F96" w:rsidRPr="00471D7F">
        <w:rPr>
          <w:rFonts w:eastAsia="Times New Roman" w:cs="Arial"/>
        </w:rPr>
        <w:t>irector-</w:t>
      </w:r>
      <w:r w:rsidRPr="00471D7F">
        <w:rPr>
          <w:rFonts w:eastAsia="Times New Roman" w:cs="Arial"/>
        </w:rPr>
        <w:t>g</w:t>
      </w:r>
      <w:r w:rsidR="00E91F96" w:rsidRPr="00471D7F">
        <w:rPr>
          <w:rFonts w:eastAsia="Times New Roman" w:cs="Arial"/>
        </w:rPr>
        <w:t xml:space="preserve">eneral signature page) </w:t>
      </w:r>
      <w:r w:rsidR="004C59EA" w:rsidRPr="00471D7F">
        <w:rPr>
          <w:rFonts w:cs="Arial"/>
          <w:szCs w:val="22"/>
        </w:rPr>
        <w:t xml:space="preserve">of the </w:t>
      </w:r>
      <w:hyperlink r:id="rId22" w:history="1">
        <w:r w:rsidRPr="00471D7F">
          <w:rPr>
            <w:rStyle w:val="Hyperlink"/>
            <w:rFonts w:cs="Arial"/>
            <w:i/>
            <w:szCs w:val="22"/>
          </w:rPr>
          <w:t xml:space="preserve">Instrument of Delegation under the Education (General Provisions) Act 2006 </w:t>
        </w:r>
        <w:r w:rsidRPr="00471D7F">
          <w:rPr>
            <w:rStyle w:val="Hyperlink"/>
            <w:rFonts w:cs="Arial"/>
            <w:szCs w:val="22"/>
          </w:rPr>
          <w:t>(Qld)</w:t>
        </w:r>
      </w:hyperlink>
      <w:r w:rsidR="004C59EA" w:rsidRPr="00471D7F">
        <w:rPr>
          <w:rFonts w:cs="Arial"/>
          <w:szCs w:val="22"/>
        </w:rPr>
        <w:t xml:space="preserve"> to the GBN authorising the </w:t>
      </w:r>
      <w:r w:rsidRPr="00471D7F">
        <w:rPr>
          <w:rFonts w:cs="Arial"/>
          <w:szCs w:val="22"/>
        </w:rPr>
        <w:t>r</w:t>
      </w:r>
      <w:r w:rsidR="004C59EA" w:rsidRPr="00471D7F">
        <w:rPr>
          <w:rFonts w:cs="Arial"/>
          <w:szCs w:val="22"/>
        </w:rPr>
        <w:t xml:space="preserve">egional </w:t>
      </w:r>
      <w:r w:rsidRPr="00471D7F">
        <w:rPr>
          <w:rFonts w:cs="Arial"/>
          <w:szCs w:val="22"/>
        </w:rPr>
        <w:t>d</w:t>
      </w:r>
      <w:r w:rsidR="004C59EA" w:rsidRPr="00471D7F">
        <w:rPr>
          <w:rFonts w:cs="Arial"/>
          <w:szCs w:val="22"/>
        </w:rPr>
        <w:t>irector to consent to bring proceedings as the Chief Executive’s delegate.</w:t>
      </w:r>
    </w:p>
    <w:p w14:paraId="6CC2A10C" w14:textId="77777777" w:rsidR="004D4BF8" w:rsidRPr="00604704" w:rsidRDefault="004D4BF8" w:rsidP="0018179C">
      <w:pPr>
        <w:keepLines/>
        <w:tabs>
          <w:tab w:val="num" w:pos="-142"/>
        </w:tabs>
        <w:ind w:left="-284" w:hanging="709"/>
        <w:rPr>
          <w:rFonts w:cs="Arial"/>
          <w:szCs w:val="22"/>
        </w:rPr>
      </w:pPr>
      <w:r w:rsidRPr="00C3796F">
        <w:rPr>
          <w:rFonts w:cs="Arial"/>
          <w:b/>
          <w:i/>
          <w:szCs w:val="22"/>
        </w:rPr>
        <w:t>NOTE</w:t>
      </w:r>
      <w:r w:rsidRPr="00C3796F">
        <w:rPr>
          <w:rFonts w:cs="Arial"/>
          <w:i/>
          <w:szCs w:val="22"/>
        </w:rPr>
        <w:t xml:space="preserve">: </w:t>
      </w:r>
      <w:r w:rsidRPr="00C3796F">
        <w:rPr>
          <w:i/>
        </w:rPr>
        <w:t xml:space="preserve">For clarity, it is recommended that separate </w:t>
      </w:r>
      <w:r>
        <w:rPr>
          <w:i/>
        </w:rPr>
        <w:t>GBNs</w:t>
      </w:r>
      <w:r w:rsidRPr="00C3796F">
        <w:rPr>
          <w:i/>
        </w:rPr>
        <w:t xml:space="preserve"> are prepared for each individual </w:t>
      </w:r>
      <w:r>
        <w:rPr>
          <w:i/>
        </w:rPr>
        <w:t>child</w:t>
      </w:r>
      <w:r w:rsidR="002965A6">
        <w:rPr>
          <w:i/>
        </w:rPr>
        <w:t xml:space="preserve"> </w:t>
      </w:r>
      <w:r w:rsidR="00C31364">
        <w:rPr>
          <w:i/>
        </w:rPr>
        <w:t>when</w:t>
      </w:r>
      <w:r w:rsidR="002965A6">
        <w:rPr>
          <w:i/>
        </w:rPr>
        <w:t xml:space="preserve"> in the same family.</w:t>
      </w:r>
    </w:p>
    <w:p w14:paraId="01A92D78" w14:textId="77777777" w:rsidR="004C59EA" w:rsidRPr="00437EC3" w:rsidRDefault="00604704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C59EA" w:rsidRPr="002C7D3D">
        <w:rPr>
          <w:rFonts w:cs="Arial"/>
          <w:szCs w:val="22"/>
        </w:rPr>
        <w:t xml:space="preserve">uthorised officer progresses </w:t>
      </w:r>
      <w:r w:rsidR="00A44E8B">
        <w:rPr>
          <w:rFonts w:cs="Arial"/>
          <w:szCs w:val="22"/>
        </w:rPr>
        <w:t>GBN</w:t>
      </w:r>
      <w:r w:rsidR="00A44E8B" w:rsidRPr="002C7D3D">
        <w:rPr>
          <w:rFonts w:cs="Arial"/>
          <w:szCs w:val="22"/>
        </w:rPr>
        <w:t xml:space="preserve"> </w:t>
      </w:r>
      <w:r w:rsidR="004C59EA" w:rsidRPr="002C7D3D">
        <w:rPr>
          <w:rFonts w:cs="Arial"/>
          <w:szCs w:val="22"/>
        </w:rPr>
        <w:t xml:space="preserve">(with any necessary amendments) to the </w:t>
      </w:r>
      <w:r w:rsidR="00A44E8B">
        <w:rPr>
          <w:rFonts w:cs="Arial"/>
          <w:szCs w:val="22"/>
        </w:rPr>
        <w:t>r</w:t>
      </w:r>
      <w:r w:rsidR="004C59EA" w:rsidRPr="002C7D3D">
        <w:rPr>
          <w:rFonts w:cs="Arial"/>
          <w:szCs w:val="22"/>
        </w:rPr>
        <w:t xml:space="preserve">egional </w:t>
      </w:r>
      <w:r w:rsidR="00A44E8B">
        <w:rPr>
          <w:rFonts w:cs="Arial"/>
          <w:szCs w:val="22"/>
        </w:rPr>
        <w:t>d</w:t>
      </w:r>
      <w:r w:rsidR="004C59EA" w:rsidRPr="002C7D3D">
        <w:rPr>
          <w:rFonts w:cs="Arial"/>
          <w:szCs w:val="22"/>
        </w:rPr>
        <w:t>irector.</w:t>
      </w:r>
    </w:p>
    <w:p w14:paraId="5241FB7B" w14:textId="77777777" w:rsidR="00101C92" w:rsidRPr="00437EC3" w:rsidRDefault="004C59EA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Regional </w:t>
      </w:r>
      <w:r w:rsidR="00A44E8B">
        <w:rPr>
          <w:rFonts w:cs="Arial"/>
          <w:szCs w:val="22"/>
        </w:rPr>
        <w:t>d</w:t>
      </w:r>
      <w:r w:rsidRPr="002C7D3D">
        <w:rPr>
          <w:rFonts w:cs="Arial"/>
          <w:szCs w:val="22"/>
        </w:rPr>
        <w:t xml:space="preserve">irector considers </w:t>
      </w:r>
      <w:r w:rsidR="00A44E8B">
        <w:rPr>
          <w:rFonts w:cs="Arial"/>
          <w:szCs w:val="22"/>
        </w:rPr>
        <w:t>GBN</w:t>
      </w:r>
      <w:r w:rsidR="00A44E8B" w:rsidRPr="002C7D3D">
        <w:rPr>
          <w:rFonts w:cs="Arial"/>
          <w:szCs w:val="22"/>
        </w:rPr>
        <w:t xml:space="preserve"> </w:t>
      </w:r>
      <w:r w:rsidRPr="002C7D3D">
        <w:rPr>
          <w:rFonts w:cs="Arial"/>
          <w:szCs w:val="22"/>
        </w:rPr>
        <w:t>and makes a decision</w:t>
      </w:r>
      <w:r w:rsidR="00437EC3">
        <w:rPr>
          <w:rFonts w:cs="Arial"/>
          <w:szCs w:val="22"/>
        </w:rPr>
        <w:t xml:space="preserve"> regarding consent to prosecute.</w:t>
      </w:r>
    </w:p>
    <w:p w14:paraId="485981F0" w14:textId="15FD56AF" w:rsidR="004C59EA" w:rsidRPr="00437EC3" w:rsidRDefault="00101C92" w:rsidP="00471D7F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If </w:t>
      </w:r>
      <w:r w:rsidR="00A44E8B">
        <w:rPr>
          <w:rFonts w:cs="Arial"/>
          <w:szCs w:val="22"/>
        </w:rPr>
        <w:t>r</w:t>
      </w:r>
      <w:r w:rsidRPr="002C7D3D">
        <w:rPr>
          <w:rFonts w:cs="Arial"/>
          <w:szCs w:val="22"/>
        </w:rPr>
        <w:t xml:space="preserve">egional </w:t>
      </w:r>
      <w:r w:rsidR="00A44E8B">
        <w:rPr>
          <w:rFonts w:cs="Arial"/>
          <w:szCs w:val="22"/>
        </w:rPr>
        <w:t>d</w:t>
      </w:r>
      <w:r w:rsidRPr="002C7D3D">
        <w:rPr>
          <w:rFonts w:cs="Arial"/>
          <w:szCs w:val="22"/>
        </w:rPr>
        <w:t>irector gives consent to prosecute, region provides GBN and a copy of all forms and any relevant correspondence regarding the child’s enrolment to the Officer-in-Charge of their local Queensland Police Service (QPS), Child Protection Investigation Unit. Region can use the</w:t>
      </w:r>
      <w:r>
        <w:rPr>
          <w:rFonts w:cs="Arial"/>
          <w:sz w:val="20"/>
        </w:rPr>
        <w:t xml:space="preserve"> </w:t>
      </w:r>
      <w:hyperlink r:id="rId23" w:history="1">
        <w:r w:rsidRPr="00471D7F">
          <w:rPr>
            <w:rStyle w:val="Hyperlink"/>
          </w:rPr>
          <w:t>QPS referral letter template – failure to enrol</w:t>
        </w:r>
      </w:hyperlink>
      <w:r w:rsidRPr="002C7D3D">
        <w:rPr>
          <w:rFonts w:cs="Arial"/>
          <w:szCs w:val="22"/>
        </w:rPr>
        <w:t>.</w:t>
      </w:r>
      <w:r>
        <w:rPr>
          <w:rFonts w:cs="Arial"/>
          <w:sz w:val="20"/>
        </w:rPr>
        <w:t xml:space="preserve"> </w:t>
      </w:r>
      <w:r w:rsidRPr="002C7D3D">
        <w:rPr>
          <w:rFonts w:cs="Arial"/>
          <w:szCs w:val="22"/>
        </w:rPr>
        <w:t>QPS will use this information to consider whether or not to commence the prosecution in accordance with QPS policy.</w:t>
      </w:r>
    </w:p>
    <w:p w14:paraId="2CDABAD7" w14:textId="77777777" w:rsidR="0018179C" w:rsidRDefault="004C59EA" w:rsidP="0018179C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2C7D3D">
        <w:rPr>
          <w:rFonts w:cs="Arial"/>
          <w:szCs w:val="22"/>
        </w:rPr>
        <w:t xml:space="preserve">Region keeps a central record in </w:t>
      </w:r>
      <w:r w:rsidR="00D4182E">
        <w:rPr>
          <w:rFonts w:cs="Arial"/>
          <w:szCs w:val="22"/>
        </w:rPr>
        <w:t>HPE</w:t>
      </w:r>
      <w:r w:rsidR="00C71257" w:rsidRPr="002C7D3D">
        <w:rPr>
          <w:rFonts w:cs="Arial"/>
          <w:szCs w:val="22"/>
        </w:rPr>
        <w:t xml:space="preserve"> </w:t>
      </w:r>
      <w:r w:rsidRPr="002C7D3D">
        <w:rPr>
          <w:rFonts w:cs="Arial"/>
          <w:szCs w:val="22"/>
        </w:rPr>
        <w:t xml:space="preserve">of all cases presented to the </w:t>
      </w:r>
      <w:r w:rsidR="00A44E8B">
        <w:rPr>
          <w:rFonts w:cs="Arial"/>
          <w:szCs w:val="22"/>
        </w:rPr>
        <w:t>r</w:t>
      </w:r>
      <w:r w:rsidRPr="002C7D3D">
        <w:rPr>
          <w:rFonts w:cs="Arial"/>
          <w:szCs w:val="22"/>
        </w:rPr>
        <w:t xml:space="preserve">egional </w:t>
      </w:r>
      <w:r w:rsidR="00A44E8B">
        <w:rPr>
          <w:rFonts w:cs="Arial"/>
          <w:szCs w:val="22"/>
        </w:rPr>
        <w:t>d</w:t>
      </w:r>
      <w:r w:rsidRPr="002C7D3D">
        <w:rPr>
          <w:rFonts w:cs="Arial"/>
          <w:szCs w:val="22"/>
        </w:rPr>
        <w:t xml:space="preserve">irector for </w:t>
      </w:r>
      <w:r w:rsidR="000277EC" w:rsidRPr="002C7D3D">
        <w:rPr>
          <w:rFonts w:cs="Arial"/>
          <w:szCs w:val="22"/>
        </w:rPr>
        <w:t>consideration;</w:t>
      </w:r>
      <w:r w:rsidRPr="002C7D3D">
        <w:rPr>
          <w:rFonts w:cs="Arial"/>
          <w:szCs w:val="22"/>
        </w:rPr>
        <w:t xml:space="preserve"> including whether (and when) a matter has been referred to the QPS.</w:t>
      </w:r>
    </w:p>
    <w:p w14:paraId="5E3E9E19" w14:textId="7471E1BA" w:rsidR="0018179C" w:rsidRDefault="004C59EA" w:rsidP="0018179C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18179C">
        <w:rPr>
          <w:rFonts w:cs="Arial"/>
          <w:szCs w:val="22"/>
        </w:rPr>
        <w:lastRenderedPageBreak/>
        <w:t xml:space="preserve">Region liaises with local QPS to determine if any further assistance is required by the QPS (e.g. contact details for witnesses, staff attendance at Court). </w:t>
      </w:r>
      <w:r w:rsidR="00A47D13" w:rsidRPr="0018179C">
        <w:rPr>
          <w:rFonts w:cs="Arial"/>
          <w:szCs w:val="22"/>
        </w:rPr>
        <w:t xml:space="preserve">Information requested by QPS can be provided directly - it is not necessary to follow processes in the </w:t>
      </w:r>
      <w:hyperlink r:id="rId24" w:history="1">
        <w:r w:rsidR="00A47D13" w:rsidRPr="0018179C">
          <w:rPr>
            <w:rStyle w:val="Hyperlink"/>
            <w:rFonts w:cs="Arial"/>
            <w:szCs w:val="22"/>
          </w:rPr>
          <w:t>Disclosing personal information to law enforcement agencies</w:t>
        </w:r>
      </w:hyperlink>
      <w:r w:rsidR="00A47D13" w:rsidRPr="0018179C">
        <w:rPr>
          <w:rFonts w:cs="Arial"/>
          <w:szCs w:val="22"/>
        </w:rPr>
        <w:t xml:space="preserve"> procedure. </w:t>
      </w:r>
      <w:r w:rsidR="000254DD" w:rsidRPr="0018179C">
        <w:rPr>
          <w:rFonts w:cs="Arial"/>
          <w:szCs w:val="22"/>
        </w:rPr>
        <w:t xml:space="preserve">Details of any information provided to the QPS should be recorded in </w:t>
      </w:r>
      <w:r w:rsidR="00D4182E" w:rsidRPr="0018179C">
        <w:rPr>
          <w:rFonts w:cs="Arial"/>
          <w:szCs w:val="22"/>
        </w:rPr>
        <w:t>HPE</w:t>
      </w:r>
      <w:r w:rsidR="000254DD" w:rsidRPr="0018179C">
        <w:rPr>
          <w:rFonts w:cs="Arial"/>
          <w:szCs w:val="22"/>
        </w:rPr>
        <w:t xml:space="preserve">. </w:t>
      </w:r>
      <w:r w:rsidRPr="0018179C">
        <w:rPr>
          <w:rFonts w:cs="Arial"/>
          <w:szCs w:val="22"/>
        </w:rPr>
        <w:t xml:space="preserve">If QPS requires an original certified copy of the </w:t>
      </w:r>
      <w:r w:rsidRPr="0018179C">
        <w:rPr>
          <w:rFonts w:cs="Arial"/>
          <w:i/>
          <w:szCs w:val="22"/>
        </w:rPr>
        <w:t>Instrument of Delegation under the Education (General Provisions) Act 2006</w:t>
      </w:r>
      <w:r w:rsidR="00A44E8B" w:rsidRPr="0018179C">
        <w:rPr>
          <w:rFonts w:cs="Arial"/>
          <w:i/>
          <w:szCs w:val="22"/>
        </w:rPr>
        <w:t xml:space="preserve"> </w:t>
      </w:r>
      <w:r w:rsidR="00A44E8B" w:rsidRPr="0018179C">
        <w:rPr>
          <w:rFonts w:cs="Arial"/>
          <w:szCs w:val="22"/>
        </w:rPr>
        <w:t>(Qld)</w:t>
      </w:r>
      <w:r w:rsidRPr="0018179C">
        <w:rPr>
          <w:rFonts w:cs="Arial"/>
          <w:szCs w:val="22"/>
        </w:rPr>
        <w:t xml:space="preserve">, region should email </w:t>
      </w:r>
      <w:r w:rsidR="00A44E8B" w:rsidRPr="0018179C">
        <w:rPr>
          <w:rFonts w:cs="Arial"/>
          <w:szCs w:val="22"/>
        </w:rPr>
        <w:t>c</w:t>
      </w:r>
      <w:r w:rsidRPr="0018179C">
        <w:rPr>
          <w:rFonts w:cs="Arial"/>
          <w:szCs w:val="22"/>
        </w:rPr>
        <w:t xml:space="preserve">entral </w:t>
      </w:r>
      <w:r w:rsidR="00A44E8B" w:rsidRPr="0018179C">
        <w:rPr>
          <w:rFonts w:cs="Arial"/>
          <w:szCs w:val="22"/>
        </w:rPr>
        <w:t>o</w:t>
      </w:r>
      <w:r w:rsidRPr="0018179C">
        <w:rPr>
          <w:rFonts w:cs="Arial"/>
          <w:szCs w:val="22"/>
        </w:rPr>
        <w:t xml:space="preserve">ffice at </w:t>
      </w:r>
      <w:hyperlink r:id="rId25" w:history="1">
        <w:r w:rsidR="009144A7" w:rsidRPr="0018179C">
          <w:rPr>
            <w:rStyle w:val="Hyperlink"/>
            <w:rFonts w:cs="Arial"/>
            <w:szCs w:val="22"/>
          </w:rPr>
          <w:t>Enquiries.SchoolOperations@qed.qld.gov.au</w:t>
        </w:r>
      </w:hyperlink>
      <w:r w:rsidRPr="0018179C">
        <w:rPr>
          <w:rFonts w:cs="Arial"/>
          <w:sz w:val="20"/>
        </w:rPr>
        <w:t xml:space="preserve"> </w:t>
      </w:r>
      <w:r w:rsidRPr="0018179C">
        <w:rPr>
          <w:rFonts w:cs="Arial"/>
          <w:szCs w:val="22"/>
        </w:rPr>
        <w:t xml:space="preserve">to obtain this. </w:t>
      </w:r>
    </w:p>
    <w:p w14:paraId="234416AD" w14:textId="77777777" w:rsidR="004C59EA" w:rsidRPr="0018179C" w:rsidRDefault="004C59EA" w:rsidP="0018179C">
      <w:pPr>
        <w:keepLines/>
        <w:numPr>
          <w:ilvl w:val="0"/>
          <w:numId w:val="9"/>
        </w:numPr>
        <w:tabs>
          <w:tab w:val="num" w:pos="-426"/>
        </w:tabs>
        <w:ind w:left="-426" w:hanging="567"/>
        <w:rPr>
          <w:rFonts w:cs="Arial"/>
          <w:szCs w:val="22"/>
        </w:rPr>
      </w:pPr>
      <w:r w:rsidRPr="0018179C">
        <w:rPr>
          <w:rFonts w:cs="Arial"/>
          <w:szCs w:val="22"/>
        </w:rPr>
        <w:t xml:space="preserve">Region must maintain contact with the QPS to obtain the outcome of the prosecution and record this in </w:t>
      </w:r>
      <w:r w:rsidR="00D4182E" w:rsidRPr="0018179C">
        <w:rPr>
          <w:rFonts w:cs="Arial"/>
          <w:szCs w:val="22"/>
        </w:rPr>
        <w:t>HPE</w:t>
      </w:r>
      <w:r w:rsidRPr="0018179C">
        <w:rPr>
          <w:rFonts w:cs="Arial"/>
          <w:szCs w:val="22"/>
        </w:rPr>
        <w:t>.</w:t>
      </w:r>
    </w:p>
    <w:p w14:paraId="0626AC6A" w14:textId="77777777" w:rsidR="004F518B" w:rsidRPr="00404BCA" w:rsidRDefault="004F518B" w:rsidP="00A93664"/>
    <w:sectPr w:rsidR="004F518B" w:rsidRPr="00404BCA" w:rsidSect="00F76C44">
      <w:headerReference w:type="default" r:id="rId26"/>
      <w:footerReference w:type="default" r:id="rId27"/>
      <w:pgSz w:w="11900" w:h="16840"/>
      <w:pgMar w:top="1418" w:right="1835" w:bottom="127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4DF5" w14:textId="77777777" w:rsidR="00453CFA" w:rsidRDefault="00453CFA" w:rsidP="00190C24">
      <w:r>
        <w:separator/>
      </w:r>
    </w:p>
  </w:endnote>
  <w:endnote w:type="continuationSeparator" w:id="0">
    <w:p w14:paraId="0DDA599D" w14:textId="77777777" w:rsidR="00453CFA" w:rsidRDefault="00453CF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FA36" w14:textId="35457624" w:rsidR="003F7762" w:rsidRDefault="00B33C7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ECBA6" wp14:editId="7F12AB33">
              <wp:simplePos x="0" y="0"/>
              <wp:positionH relativeFrom="column">
                <wp:posOffset>-666750</wp:posOffset>
              </wp:positionH>
              <wp:positionV relativeFrom="paragraph">
                <wp:posOffset>-41498</wp:posOffset>
              </wp:positionV>
              <wp:extent cx="5005070" cy="670956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6709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CB073" w14:textId="77777777" w:rsidR="003F7762" w:rsidRDefault="003F7762" w:rsidP="00101C92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>Refer to the Department of Education Policy and Procedure Register at</w:t>
                          </w:r>
                        </w:p>
                        <w:p w14:paraId="6A005443" w14:textId="06FAFC04" w:rsidR="003F7762" w:rsidRPr="003F7762" w:rsidRDefault="00000000" w:rsidP="00A0148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1483" w:rsidRPr="006E367A">
                              <w:rPr>
                                <w:rStyle w:val="Hyperlink"/>
                                <w:sz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 w:rsidR="00A01483">
                            <w:rPr>
                              <w:sz w:val="18"/>
                            </w:rPr>
                            <w:t xml:space="preserve"> </w:t>
                          </w:r>
                          <w:r w:rsidR="003F7762"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ECB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5pt;margin-top:-3.25pt;width:394.1pt;height: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" filled="f" stroked="f">
              <v:textbox>
                <w:txbxContent>
                  <w:p w14:paraId="678CB073" w14:textId="77777777" w:rsidR="003F7762" w:rsidRDefault="003F7762" w:rsidP="00101C92">
                    <w:pPr>
                      <w:spacing w:after="0"/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>Refer to the Department of Education Policy and Procedure Register at</w:t>
                    </w:r>
                  </w:p>
                  <w:p w14:paraId="6A005443" w14:textId="06FAFC04" w:rsidR="003F7762" w:rsidRPr="003F7762" w:rsidRDefault="00A01483" w:rsidP="00A01483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6E367A">
                        <w:rPr>
                          <w:rStyle w:val="Hyperlink"/>
                          <w:sz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r w:rsidR="003F7762">
                      <w:rPr>
                        <w:sz w:val="18"/>
                      </w:rPr>
                      <w:t>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9DEA" w14:textId="77777777" w:rsidR="00453CFA" w:rsidRDefault="00453CFA" w:rsidP="00190C24">
      <w:r>
        <w:separator/>
      </w:r>
    </w:p>
  </w:footnote>
  <w:footnote w:type="continuationSeparator" w:id="0">
    <w:p w14:paraId="03373F05" w14:textId="77777777" w:rsidR="00453CFA" w:rsidRDefault="00453CF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766D" w14:textId="4799CC8F" w:rsidR="00D01CD2" w:rsidRDefault="00B33C7A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205EC095" wp14:editId="48AB878C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9AF"/>
    <w:multiLevelType w:val="hybridMultilevel"/>
    <w:tmpl w:val="FF3A1476"/>
    <w:lvl w:ilvl="0" w:tplc="5F662C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D4228"/>
    <w:multiLevelType w:val="hybridMultilevel"/>
    <w:tmpl w:val="5F8CD0D0"/>
    <w:lvl w:ilvl="0" w:tplc="9F784FC2">
      <w:start w:val="1"/>
      <w:numFmt w:val="bullet"/>
      <w:lvlText w:val=""/>
      <w:lvlJc w:val="left"/>
      <w:pPr>
        <w:tabs>
          <w:tab w:val="num" w:pos="162"/>
        </w:tabs>
        <w:ind w:left="162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0EB8619C"/>
    <w:multiLevelType w:val="hybridMultilevel"/>
    <w:tmpl w:val="C2EEA7EC"/>
    <w:lvl w:ilvl="0" w:tplc="9F784FC2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27E1C4C"/>
    <w:multiLevelType w:val="hybridMultilevel"/>
    <w:tmpl w:val="26445240"/>
    <w:lvl w:ilvl="0" w:tplc="4BF456E8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8A95050"/>
    <w:multiLevelType w:val="hybridMultilevel"/>
    <w:tmpl w:val="D16A61CE"/>
    <w:lvl w:ilvl="0" w:tplc="73866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80744"/>
    <w:multiLevelType w:val="hybridMultilevel"/>
    <w:tmpl w:val="4D60D7CE"/>
    <w:lvl w:ilvl="0" w:tplc="9A567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C44056"/>
    <w:multiLevelType w:val="hybridMultilevel"/>
    <w:tmpl w:val="A5CAC0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C35"/>
    <w:multiLevelType w:val="hybridMultilevel"/>
    <w:tmpl w:val="EC529314"/>
    <w:lvl w:ilvl="0" w:tplc="CB7E1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5811BF"/>
    <w:multiLevelType w:val="hybridMultilevel"/>
    <w:tmpl w:val="1ABC1F5C"/>
    <w:lvl w:ilvl="0" w:tplc="9F784FC2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701ABC"/>
    <w:multiLevelType w:val="hybridMultilevel"/>
    <w:tmpl w:val="5A303E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F6335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3873302"/>
    <w:multiLevelType w:val="hybridMultilevel"/>
    <w:tmpl w:val="DD40A4BE"/>
    <w:lvl w:ilvl="0" w:tplc="B844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9016F"/>
    <w:multiLevelType w:val="hybridMultilevel"/>
    <w:tmpl w:val="60F04F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6BE4B35"/>
    <w:multiLevelType w:val="hybridMultilevel"/>
    <w:tmpl w:val="035E71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876C5"/>
    <w:multiLevelType w:val="hybridMultilevel"/>
    <w:tmpl w:val="68085A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E6B567F"/>
    <w:multiLevelType w:val="hybridMultilevel"/>
    <w:tmpl w:val="3486424A"/>
    <w:lvl w:ilvl="0" w:tplc="9F784FC2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5516A84"/>
    <w:multiLevelType w:val="hybridMultilevel"/>
    <w:tmpl w:val="C4522B5A"/>
    <w:lvl w:ilvl="0" w:tplc="84F41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C16766"/>
    <w:multiLevelType w:val="hybridMultilevel"/>
    <w:tmpl w:val="52526482"/>
    <w:lvl w:ilvl="0" w:tplc="4BF45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E5A7FCE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99073270">
    <w:abstractNumId w:val="1"/>
  </w:num>
  <w:num w:numId="2" w16cid:durableId="250553904">
    <w:abstractNumId w:val="10"/>
  </w:num>
  <w:num w:numId="3" w16cid:durableId="743796912">
    <w:abstractNumId w:val="17"/>
  </w:num>
  <w:num w:numId="4" w16cid:durableId="1284313715">
    <w:abstractNumId w:val="8"/>
  </w:num>
  <w:num w:numId="5" w16cid:durableId="1219630644">
    <w:abstractNumId w:val="11"/>
  </w:num>
  <w:num w:numId="6" w16cid:durableId="1959750960">
    <w:abstractNumId w:val="13"/>
  </w:num>
  <w:num w:numId="7" w16cid:durableId="2075621798">
    <w:abstractNumId w:val="15"/>
  </w:num>
  <w:num w:numId="8" w16cid:durableId="153491231">
    <w:abstractNumId w:val="0"/>
  </w:num>
  <w:num w:numId="9" w16cid:durableId="1285695635">
    <w:abstractNumId w:val="6"/>
  </w:num>
  <w:num w:numId="10" w16cid:durableId="1216164612">
    <w:abstractNumId w:val="18"/>
  </w:num>
  <w:num w:numId="11" w16cid:durableId="1735473259">
    <w:abstractNumId w:val="7"/>
  </w:num>
  <w:num w:numId="12" w16cid:durableId="1212572291">
    <w:abstractNumId w:val="12"/>
  </w:num>
  <w:num w:numId="13" w16cid:durableId="1749569677">
    <w:abstractNumId w:val="14"/>
  </w:num>
  <w:num w:numId="14" w16cid:durableId="1678078651">
    <w:abstractNumId w:val="5"/>
  </w:num>
  <w:num w:numId="15" w16cid:durableId="290476732">
    <w:abstractNumId w:val="4"/>
  </w:num>
  <w:num w:numId="16" w16cid:durableId="1944875398">
    <w:abstractNumId w:val="16"/>
  </w:num>
  <w:num w:numId="17" w16cid:durableId="791823493">
    <w:abstractNumId w:val="3"/>
  </w:num>
  <w:num w:numId="18" w16cid:durableId="1589390271">
    <w:abstractNumId w:val="9"/>
  </w:num>
  <w:num w:numId="19" w16cid:durableId="14385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2"/>
    <w:rsid w:val="000254DD"/>
    <w:rsid w:val="000277EC"/>
    <w:rsid w:val="000346FB"/>
    <w:rsid w:val="000436FC"/>
    <w:rsid w:val="000812E5"/>
    <w:rsid w:val="000B61AC"/>
    <w:rsid w:val="000D6CE0"/>
    <w:rsid w:val="000E4BA8"/>
    <w:rsid w:val="000E584B"/>
    <w:rsid w:val="000F7FDE"/>
    <w:rsid w:val="00101C92"/>
    <w:rsid w:val="001107C8"/>
    <w:rsid w:val="001123BC"/>
    <w:rsid w:val="00145C1D"/>
    <w:rsid w:val="00152012"/>
    <w:rsid w:val="001545B3"/>
    <w:rsid w:val="0015627C"/>
    <w:rsid w:val="00175E0A"/>
    <w:rsid w:val="0018179C"/>
    <w:rsid w:val="00185CCF"/>
    <w:rsid w:val="00190B49"/>
    <w:rsid w:val="00190C24"/>
    <w:rsid w:val="00191359"/>
    <w:rsid w:val="001C71DE"/>
    <w:rsid w:val="002371F7"/>
    <w:rsid w:val="002420F6"/>
    <w:rsid w:val="00245436"/>
    <w:rsid w:val="002965A6"/>
    <w:rsid w:val="002A7EDA"/>
    <w:rsid w:val="002C7D3D"/>
    <w:rsid w:val="002F78A2"/>
    <w:rsid w:val="003239E3"/>
    <w:rsid w:val="00336311"/>
    <w:rsid w:val="003B1385"/>
    <w:rsid w:val="003F3AB7"/>
    <w:rsid w:val="003F7762"/>
    <w:rsid w:val="00404BCA"/>
    <w:rsid w:val="00417107"/>
    <w:rsid w:val="00422352"/>
    <w:rsid w:val="00426937"/>
    <w:rsid w:val="00437EC3"/>
    <w:rsid w:val="00453CFA"/>
    <w:rsid w:val="0045564E"/>
    <w:rsid w:val="0047165B"/>
    <w:rsid w:val="00471D7F"/>
    <w:rsid w:val="00485DB8"/>
    <w:rsid w:val="004C59EA"/>
    <w:rsid w:val="004D2D9A"/>
    <w:rsid w:val="004D4BF8"/>
    <w:rsid w:val="004F4FEB"/>
    <w:rsid w:val="004F518B"/>
    <w:rsid w:val="005121A8"/>
    <w:rsid w:val="00513127"/>
    <w:rsid w:val="00516445"/>
    <w:rsid w:val="00524470"/>
    <w:rsid w:val="005354A7"/>
    <w:rsid w:val="00581330"/>
    <w:rsid w:val="005F4331"/>
    <w:rsid w:val="00602309"/>
    <w:rsid w:val="00604704"/>
    <w:rsid w:val="006239A5"/>
    <w:rsid w:val="00636B71"/>
    <w:rsid w:val="006C0C9B"/>
    <w:rsid w:val="006C2AD8"/>
    <w:rsid w:val="006C3D8E"/>
    <w:rsid w:val="007B0AC7"/>
    <w:rsid w:val="007E3656"/>
    <w:rsid w:val="007F2907"/>
    <w:rsid w:val="00863084"/>
    <w:rsid w:val="008846AE"/>
    <w:rsid w:val="00896B17"/>
    <w:rsid w:val="008A56CA"/>
    <w:rsid w:val="008B0EC0"/>
    <w:rsid w:val="008D3C13"/>
    <w:rsid w:val="008D4837"/>
    <w:rsid w:val="008E0286"/>
    <w:rsid w:val="00904498"/>
    <w:rsid w:val="009062DA"/>
    <w:rsid w:val="00907963"/>
    <w:rsid w:val="009142E9"/>
    <w:rsid w:val="009144A7"/>
    <w:rsid w:val="009242E5"/>
    <w:rsid w:val="0093097D"/>
    <w:rsid w:val="0096078C"/>
    <w:rsid w:val="0096595E"/>
    <w:rsid w:val="009D1BDB"/>
    <w:rsid w:val="009E5EE5"/>
    <w:rsid w:val="00A01483"/>
    <w:rsid w:val="00A17E73"/>
    <w:rsid w:val="00A35668"/>
    <w:rsid w:val="00A44E8B"/>
    <w:rsid w:val="00A47D13"/>
    <w:rsid w:val="00A47F67"/>
    <w:rsid w:val="00A65710"/>
    <w:rsid w:val="00A93664"/>
    <w:rsid w:val="00AB0A25"/>
    <w:rsid w:val="00AC75C1"/>
    <w:rsid w:val="00B33337"/>
    <w:rsid w:val="00B33C7A"/>
    <w:rsid w:val="00B65D8E"/>
    <w:rsid w:val="00B8285E"/>
    <w:rsid w:val="00B8699D"/>
    <w:rsid w:val="00B9771E"/>
    <w:rsid w:val="00BB6CE0"/>
    <w:rsid w:val="00BF2794"/>
    <w:rsid w:val="00C03226"/>
    <w:rsid w:val="00C1225C"/>
    <w:rsid w:val="00C177AF"/>
    <w:rsid w:val="00C20380"/>
    <w:rsid w:val="00C31364"/>
    <w:rsid w:val="00C3796F"/>
    <w:rsid w:val="00C447DB"/>
    <w:rsid w:val="00C71257"/>
    <w:rsid w:val="00CA3066"/>
    <w:rsid w:val="00CB07AD"/>
    <w:rsid w:val="00CD793C"/>
    <w:rsid w:val="00CE09B1"/>
    <w:rsid w:val="00CF1FE7"/>
    <w:rsid w:val="00D01CD2"/>
    <w:rsid w:val="00D20B60"/>
    <w:rsid w:val="00D238CD"/>
    <w:rsid w:val="00D4182E"/>
    <w:rsid w:val="00D75050"/>
    <w:rsid w:val="00D842DF"/>
    <w:rsid w:val="00DC5E03"/>
    <w:rsid w:val="00DF2683"/>
    <w:rsid w:val="00E51AB6"/>
    <w:rsid w:val="00E73964"/>
    <w:rsid w:val="00E91F96"/>
    <w:rsid w:val="00EC51DE"/>
    <w:rsid w:val="00ED6EA3"/>
    <w:rsid w:val="00EF474F"/>
    <w:rsid w:val="00EF4AC5"/>
    <w:rsid w:val="00F20440"/>
    <w:rsid w:val="00F447A2"/>
    <w:rsid w:val="00F50607"/>
    <w:rsid w:val="00F76C44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9612B"/>
  <w15:docId w15:val="{0FE844E7-6529-4328-AEA9-8F15473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6A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8846AE"/>
    <w:rPr>
      <w:color w:val="0563C1"/>
      <w:u w:val="single"/>
    </w:rPr>
  </w:style>
  <w:style w:type="character" w:styleId="CommentReference">
    <w:name w:val="annotation reference"/>
    <w:uiPriority w:val="99"/>
    <w:rsid w:val="004C5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59EA"/>
    <w:pPr>
      <w:spacing w:after="0"/>
    </w:pPr>
    <w:rPr>
      <w:rFonts w:eastAsia="Times New Roman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sid w:val="004C59E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B7"/>
    <w:pPr>
      <w:spacing w:after="120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F3AB7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F3AB7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22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dg-guideline-to-determine-reasonable-excuse-for-the-purposes-of-ss176-and-239.pdf" TargetMode="External"/><Relationship Id="rId18" Type="http://schemas.openxmlformats.org/officeDocument/2006/relationships/hyperlink" Target="https://ppr.mpe.qed.qld.gov.au/attachment/form-2-failure-to-enrol-s178-4-warning-notice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delegation/education-general-provisions-act-2006-director-general-authorisation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circumstances-where-the-legal-obligations-of-parents-do-not-apply.docx" TargetMode="External"/><Relationship Id="rId17" Type="http://schemas.openxmlformats.org/officeDocument/2006/relationships/hyperlink" Target="https://ppr.mpe.qed.qld.gov.au/attachment/form-1-failure-to-enrol-s178-2-notice.docx" TargetMode="External"/><Relationship Id="rId25" Type="http://schemas.openxmlformats.org/officeDocument/2006/relationships/hyperlink" Target="mailto:Enquiries.SchoolOperations@qed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alteration-to-a-students-education-program.docx" TargetMode="External"/><Relationship Id="rId20" Type="http://schemas.openxmlformats.org/officeDocument/2006/relationships/hyperlink" Target="https://ppr.mpe.qed.qld.gov.au/attachment/template-3-failure-to-enrol-general-briefing-not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letter-template-for-regions-to-non-state-schools-checking-if-a-student-is-enrolled-compulsory-schooling.docx" TargetMode="External"/><Relationship Id="rId24" Type="http://schemas.openxmlformats.org/officeDocument/2006/relationships/hyperlink" Target="https://ppr.mpe.qed.qld.gov.au/pp/disclosing-personal-information-to-law-enforcement-agencie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flexible-arrangements-involving-an-alternative-education-provider-procedure" TargetMode="External"/><Relationship Id="rId23" Type="http://schemas.openxmlformats.org/officeDocument/2006/relationships/hyperlink" Target="https://ppr.mpe.qed.qld.gov.au/attachment/qps-referral-letter-failure-to-enrol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pr.mpe.qed.qld.gov.au/attachment/dg-guideline-to-determine-reasonable-excuse-for-the-purposes-of-ss176-and-23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exemptions-from-compulsory-schooling-and-compulsory-participation-procedure" TargetMode="External"/><Relationship Id="rId22" Type="http://schemas.openxmlformats.org/officeDocument/2006/relationships/hyperlink" Target="https://ppr.mpe.qed.qld.gov.au/delegation/education-general-provisions-act-2006-director-general-delegations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Processes for enforcing the parental obligation that a child of compulsory school age is enrolled in a school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2023-07-25T05:46:42+00:00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2023-07-25T05:46:42+00:00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2023-07-20T02:07:00+00:00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4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484BF5-DB6B-4AB8-8ED4-D4CEC28EA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7189D473-8674-4DAE-8E8D-CF0D7A5E8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DF52F-940D-4A02-B732-61F137339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0AE72-7BD8-4E80-B275-6A06FFC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8025</CharactersWithSpaces>
  <SharedDoc>false</SharedDoc>
  <HLinks>
    <vt:vector size="96" baseType="variant">
      <vt:variant>
        <vt:i4>6291474</vt:i4>
      </vt:variant>
      <vt:variant>
        <vt:i4>42</vt:i4>
      </vt:variant>
      <vt:variant>
        <vt:i4>0</vt:i4>
      </vt:variant>
      <vt:variant>
        <vt:i4>5</vt:i4>
      </vt:variant>
      <vt:variant>
        <vt:lpwstr>mailto:Enquiries.SchoolOperations@qed.qld.gov.au</vt:lpwstr>
      </vt:variant>
      <vt:variant>
        <vt:lpwstr/>
      </vt:variant>
      <vt:variant>
        <vt:i4>983041</vt:i4>
      </vt:variant>
      <vt:variant>
        <vt:i4>39</vt:i4>
      </vt:variant>
      <vt:variant>
        <vt:i4>0</vt:i4>
      </vt:variant>
      <vt:variant>
        <vt:i4>5</vt:i4>
      </vt:variant>
      <vt:variant>
        <vt:lpwstr>http://ppr.det.qld.gov.au/education/community/Pages/Disclosing-Student-Personal-Information-to-the-Queensland-Police-Service.aspx</vt:lpwstr>
      </vt:variant>
      <vt:variant>
        <vt:lpwstr/>
      </vt:variant>
      <vt:variant>
        <vt:i4>589883</vt:i4>
      </vt:variant>
      <vt:variant>
        <vt:i4>36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Schools/Referral_letter_QPS_fail_to_enrol.doc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http://ppr.det.qld.gov.au/pif/authorities/Authorities and Delegations/Director-Generals delegations under Education (General Provisions) Act 2006.pdf</vt:lpwstr>
      </vt:variant>
      <vt:variant>
        <vt:lpwstr/>
      </vt:variant>
      <vt:variant>
        <vt:i4>1048587</vt:i4>
      </vt:variant>
      <vt:variant>
        <vt:i4>30</vt:i4>
      </vt:variant>
      <vt:variant>
        <vt:i4>0</vt:i4>
      </vt:variant>
      <vt:variant>
        <vt:i4>5</vt:i4>
      </vt:variant>
      <vt:variant>
        <vt:lpwstr>http://ppr.det.qld.gov.au/pif/authorities/Authorities and Delegations/Director-Generals authorisations under Education (General Provisions) Act 2006.pdf</vt:lpwstr>
      </vt:variant>
      <vt:variant>
        <vt:lpwstr/>
      </vt:variant>
      <vt:variant>
        <vt:i4>7077896</vt:i4>
      </vt:variant>
      <vt:variant>
        <vt:i4>27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Schools/template_3.doc</vt:lpwstr>
      </vt:variant>
      <vt:variant>
        <vt:lpwstr/>
      </vt:variant>
      <vt:variant>
        <vt:i4>5898334</vt:i4>
      </vt:variant>
      <vt:variant>
        <vt:i4>24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Schools/DG_signed_guideline.pdf</vt:lpwstr>
      </vt:variant>
      <vt:variant>
        <vt:lpwstr/>
      </vt:variant>
      <vt:variant>
        <vt:i4>7929882</vt:i4>
      </vt:variant>
      <vt:variant>
        <vt:i4>21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Schools/form_2.doc</vt:lpwstr>
      </vt:variant>
      <vt:variant>
        <vt:lpwstr/>
      </vt:variant>
      <vt:variant>
        <vt:i4>7929881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Schools/form_1.doc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Schools/alteration.doc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http://ppr.det.qld.gov.au/education/management/Pages/Flexible-Arrangements-for-School-Students.aspx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Schools/DG_signed_guideline.pdf</vt:lpwstr>
      </vt:variant>
      <vt:variant>
        <vt:lpwstr/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Schools/circumstances.doc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Attachments/Managing Student Absences and Enforcing Enrolment and Attendance at State Schools/Optional_letter_regions_non_state_check_enrol.docx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Processes for enforcing the parental obligation that a child of compulsory school age is enrolled in a school</dc:title>
  <dc:subject/>
  <dc:creator>Microsoft Office User</dc:creator>
  <cp:keywords>A4; portrait; template; DoE generic</cp:keywords>
  <cp:lastModifiedBy>Samantha Thorning</cp:lastModifiedBy>
  <cp:revision>4</cp:revision>
  <cp:lastPrinted>2017-12-18T03:35:00Z</cp:lastPrinted>
  <dcterms:created xsi:type="dcterms:W3CDTF">2023-07-19T01:52:00Z</dcterms:created>
  <dcterms:modified xsi:type="dcterms:W3CDTF">2023-07-20T02:02:00Z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A4 page portrait template</vt:lpwstr>
  </property>
  <property fmtid="{D5CDD505-2E9C-101B-9397-08002B2CF9AE}" pid="14" name="Security">
    <vt:lpwstr>Unclassified</vt:lpwstr>
  </property>
  <property fmtid="{D5CDD505-2E9C-101B-9397-08002B2CF9AE}" pid="15" name="Order">
    <vt:r8>54900</vt:r8>
  </property>
</Properties>
</file>