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6002" w14:textId="77777777" w:rsidR="00E04B8F" w:rsidRPr="00970D66" w:rsidRDefault="00E04B8F" w:rsidP="00C17342">
      <w:pPr>
        <w:pStyle w:val="Heading1"/>
        <w:spacing w:after="60" w:line="240" w:lineRule="auto"/>
        <w:rPr>
          <w:sz w:val="48"/>
          <w:szCs w:val="48"/>
        </w:rPr>
      </w:pPr>
      <w:r w:rsidRPr="00970D66">
        <w:rPr>
          <w:sz w:val="48"/>
          <w:szCs w:val="48"/>
        </w:rPr>
        <w:t>Risk evaluation form</w:t>
      </w:r>
    </w:p>
    <w:p w14:paraId="3BE7F5C8" w14:textId="77777777" w:rsidR="00E04B8F" w:rsidRPr="00337768" w:rsidRDefault="00E04B8F" w:rsidP="00931748">
      <w:pPr>
        <w:spacing w:after="120" w:line="240" w:lineRule="auto"/>
        <w:rPr>
          <w:b/>
        </w:rPr>
      </w:pPr>
      <w:r w:rsidRPr="00337768">
        <w:rPr>
          <w:b/>
        </w:rPr>
        <w:t xml:space="preserve">Please ensure this completed form is uploaded to the student’s individual </w:t>
      </w:r>
      <w:proofErr w:type="spellStart"/>
      <w:r w:rsidRPr="00337768">
        <w:rPr>
          <w:b/>
        </w:rPr>
        <w:t>OneSchool</w:t>
      </w:r>
      <w:proofErr w:type="spellEnd"/>
      <w:r w:rsidRPr="00337768">
        <w:rPr>
          <w:b/>
        </w:rPr>
        <w:t xml:space="preserve"> Support record.</w: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3686"/>
        <w:gridCol w:w="10885"/>
      </w:tblGrid>
      <w:tr w:rsidR="002776D0" w:rsidRPr="00210783" w14:paraId="19937704" w14:textId="77777777" w:rsidTr="002776D0">
        <w:trPr>
          <w:jc w:val="center"/>
        </w:trPr>
        <w:tc>
          <w:tcPr>
            <w:tcW w:w="1265" w:type="pct"/>
            <w:shd w:val="clear" w:color="auto" w:fill="F2F2F2" w:themeFill="background1" w:themeFillShade="F2"/>
          </w:tcPr>
          <w:p w14:paraId="4CCCD751" w14:textId="77777777" w:rsidR="00E04B8F" w:rsidRPr="0043780F" w:rsidRDefault="00E04B8F" w:rsidP="0043780F">
            <w:r w:rsidRPr="0043780F">
              <w:t>Student name:</w:t>
            </w:r>
          </w:p>
        </w:tc>
        <w:tc>
          <w:tcPr>
            <w:tcW w:w="3735" w:type="pct"/>
          </w:tcPr>
          <w:p w14:paraId="696D1A36" w14:textId="77777777" w:rsidR="00E04B8F" w:rsidRPr="00210783" w:rsidRDefault="00E04B8F" w:rsidP="0043780F"/>
        </w:tc>
      </w:tr>
      <w:tr w:rsidR="002776D0" w:rsidRPr="00210783" w14:paraId="4DFE59CF" w14:textId="77777777" w:rsidTr="002776D0">
        <w:trPr>
          <w:jc w:val="center"/>
        </w:trPr>
        <w:tc>
          <w:tcPr>
            <w:tcW w:w="1265" w:type="pct"/>
            <w:shd w:val="clear" w:color="auto" w:fill="F2F2F2" w:themeFill="background1" w:themeFillShade="F2"/>
          </w:tcPr>
          <w:p w14:paraId="49498F6C" w14:textId="77777777" w:rsidR="00E04B8F" w:rsidRPr="0043780F" w:rsidRDefault="00E04B8F" w:rsidP="0043780F">
            <w:r w:rsidRPr="0043780F">
              <w:t>School name:</w:t>
            </w:r>
          </w:p>
        </w:tc>
        <w:tc>
          <w:tcPr>
            <w:tcW w:w="3735" w:type="pct"/>
          </w:tcPr>
          <w:p w14:paraId="260FFA34" w14:textId="77777777" w:rsidR="00E04B8F" w:rsidRPr="00210783" w:rsidRDefault="00E04B8F" w:rsidP="0043780F"/>
        </w:tc>
      </w:tr>
    </w:tbl>
    <w:p w14:paraId="31C82787" w14:textId="77777777" w:rsidR="00E04B8F" w:rsidRPr="00E2076A" w:rsidRDefault="00E04B8F" w:rsidP="002776D0">
      <w:pPr>
        <w:spacing w:after="0" w:line="240" w:lineRule="auto"/>
        <w:rPr>
          <w:color w:val="2E74B5" w:themeColor="accent1" w:themeShade="BF"/>
          <w:sz w:val="20"/>
          <w:szCs w:val="32"/>
        </w:rPr>
      </w:pPr>
    </w:p>
    <w:tbl>
      <w:tblPr>
        <w:tblStyle w:val="TableGrid"/>
        <w:tblW w:w="14569" w:type="dxa"/>
        <w:tblLook w:val="04A0" w:firstRow="1" w:lastRow="0" w:firstColumn="1" w:lastColumn="0" w:noHBand="0" w:noVBand="1"/>
      </w:tblPr>
      <w:tblGrid>
        <w:gridCol w:w="3685"/>
        <w:gridCol w:w="1984"/>
        <w:gridCol w:w="1984"/>
        <w:gridCol w:w="1984"/>
        <w:gridCol w:w="2948"/>
        <w:gridCol w:w="1984"/>
      </w:tblGrid>
      <w:tr w:rsidR="00AC79DE" w:rsidRPr="005652C4" w14:paraId="5F3499F0" w14:textId="77777777" w:rsidTr="002776D0">
        <w:trPr>
          <w:trHeight w:val="781"/>
        </w:trPr>
        <w:tc>
          <w:tcPr>
            <w:tcW w:w="3685" w:type="dxa"/>
            <w:shd w:val="clear" w:color="auto" w:fill="2F5496" w:themeFill="accent5" w:themeFillShade="BF"/>
            <w:vAlign w:val="center"/>
          </w:tcPr>
          <w:p w14:paraId="66A12AE6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>Identify and describe risk behaviour/s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</w:tcPr>
          <w:p w14:paraId="4FF7B6FC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>Impact of the behaviour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</w:tcPr>
          <w:p w14:paraId="6D33BDEE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>Likelihood of the behaviour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</w:tcPr>
          <w:p w14:paraId="750A523D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>Risk rating</w:t>
            </w:r>
          </w:p>
        </w:tc>
        <w:tc>
          <w:tcPr>
            <w:tcW w:w="2948" w:type="dxa"/>
            <w:shd w:val="clear" w:color="auto" w:fill="2F5496" w:themeFill="accent5" w:themeFillShade="BF"/>
            <w:vAlign w:val="center"/>
          </w:tcPr>
          <w:p w14:paraId="2801D4E3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 xml:space="preserve">Planned risk </w:t>
            </w:r>
            <w:r w:rsidR="008D48F7">
              <w:rPr>
                <w:b/>
                <w:color w:val="FFFFFF" w:themeColor="background1"/>
                <w:szCs w:val="18"/>
              </w:rPr>
              <w:t>actions and controls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</w:tcPr>
          <w:p w14:paraId="6950E380" w14:textId="77777777" w:rsidR="00E04B8F" w:rsidRPr="005652C4" w:rsidRDefault="00E04B8F" w:rsidP="00165D8E">
            <w:pPr>
              <w:spacing w:before="0"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5652C4">
              <w:rPr>
                <w:b/>
                <w:color w:val="FFFFFF" w:themeColor="background1"/>
                <w:szCs w:val="18"/>
              </w:rPr>
              <w:t xml:space="preserve">Staff member with responsibility </w:t>
            </w:r>
            <w:r w:rsidR="0043780F">
              <w:rPr>
                <w:b/>
                <w:color w:val="FFFFFF" w:themeColor="background1"/>
                <w:szCs w:val="18"/>
              </w:rPr>
              <w:br/>
            </w:r>
            <w:r w:rsidRPr="002776D0">
              <w:rPr>
                <w:b/>
                <w:color w:val="FFFFFF" w:themeColor="background1"/>
                <w:sz w:val="15"/>
                <w:szCs w:val="15"/>
              </w:rPr>
              <w:t>(name and position title)</w:t>
            </w:r>
          </w:p>
        </w:tc>
      </w:tr>
      <w:tr w:rsidR="00AC79DE" w:rsidRPr="005652C4" w14:paraId="4DCEE612" w14:textId="77777777" w:rsidTr="00C17342">
        <w:trPr>
          <w:trHeight w:val="1134"/>
        </w:trPr>
        <w:tc>
          <w:tcPr>
            <w:tcW w:w="3685" w:type="dxa"/>
          </w:tcPr>
          <w:p w14:paraId="0002705F" w14:textId="77777777" w:rsidR="00605C31" w:rsidRPr="00AC79DE" w:rsidRDefault="00605C31" w:rsidP="00662AD0"/>
        </w:tc>
        <w:tc>
          <w:tcPr>
            <w:tcW w:w="1984" w:type="dxa"/>
          </w:tcPr>
          <w:p w14:paraId="789D9A5D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805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Insignificant impact</w:t>
            </w:r>
          </w:p>
          <w:p w14:paraId="5137E848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413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Minor impact</w:t>
            </w:r>
          </w:p>
          <w:p w14:paraId="68D6FB94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778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Moderate impact</w:t>
            </w:r>
          </w:p>
          <w:p w14:paraId="1A7E4C69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320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Major impact</w:t>
            </w:r>
          </w:p>
          <w:p w14:paraId="7A462458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color w:val="2E74B5" w:themeColor="accent1" w:themeShade="BF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3681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Critical impact</w:t>
            </w:r>
          </w:p>
        </w:tc>
        <w:tc>
          <w:tcPr>
            <w:tcW w:w="1984" w:type="dxa"/>
          </w:tcPr>
          <w:p w14:paraId="6FED39C1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3064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Rare</w:t>
            </w:r>
          </w:p>
          <w:p w14:paraId="7ACD8FA1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117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Unlikely</w:t>
            </w:r>
          </w:p>
          <w:p w14:paraId="3B0C10B2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049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Possible</w:t>
            </w:r>
          </w:p>
          <w:p w14:paraId="58E94438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255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Likely</w:t>
            </w:r>
          </w:p>
          <w:p w14:paraId="07EB0418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462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43780F" w:rsidRPr="00662AD0">
              <w:rPr>
                <w:rFonts w:cs="Arial"/>
                <w:szCs w:val="18"/>
              </w:rPr>
              <w:t xml:space="preserve"> Almost c</w:t>
            </w:r>
            <w:r w:rsidR="00E04B8F" w:rsidRPr="00662AD0">
              <w:rPr>
                <w:rFonts w:cs="Arial"/>
                <w:szCs w:val="18"/>
              </w:rPr>
              <w:t>ertain</w:t>
            </w:r>
          </w:p>
        </w:tc>
        <w:tc>
          <w:tcPr>
            <w:tcW w:w="1984" w:type="dxa"/>
            <w:shd w:val="clear" w:color="auto" w:fill="auto"/>
          </w:tcPr>
          <w:p w14:paraId="5E08C7D6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677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Low risk</w:t>
            </w:r>
          </w:p>
          <w:p w14:paraId="11E742A6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2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Medium risk</w:t>
            </w:r>
          </w:p>
          <w:p w14:paraId="6FF48EFA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722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High risk</w:t>
            </w:r>
          </w:p>
          <w:p w14:paraId="141E0143" w14:textId="77777777" w:rsidR="00E04B8F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740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E04B8F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Extreme risk</w:t>
            </w:r>
          </w:p>
          <w:p w14:paraId="5E23254E" w14:textId="77777777" w:rsidR="00E04B8F" w:rsidRPr="00662AD0" w:rsidRDefault="00E04B8F" w:rsidP="00831A8E">
            <w:pPr>
              <w:spacing w:before="0" w:after="0" w:line="264" w:lineRule="auto"/>
              <w:rPr>
                <w:rFonts w:cs="Arial"/>
                <w:szCs w:val="18"/>
              </w:rPr>
            </w:pPr>
          </w:p>
        </w:tc>
        <w:tc>
          <w:tcPr>
            <w:tcW w:w="2948" w:type="dxa"/>
          </w:tcPr>
          <w:p w14:paraId="055B037F" w14:textId="77777777" w:rsidR="00E04B8F" w:rsidRPr="005652C4" w:rsidRDefault="00E04B8F" w:rsidP="00662AD0"/>
        </w:tc>
        <w:tc>
          <w:tcPr>
            <w:tcW w:w="1984" w:type="dxa"/>
          </w:tcPr>
          <w:p w14:paraId="0FA1D0AB" w14:textId="77777777" w:rsidR="00E04B8F" w:rsidRPr="005652C4" w:rsidRDefault="00E04B8F" w:rsidP="00662AD0"/>
        </w:tc>
      </w:tr>
      <w:tr w:rsidR="00662AD0" w:rsidRPr="005652C4" w14:paraId="549717FE" w14:textId="77777777" w:rsidTr="00C17342">
        <w:trPr>
          <w:trHeight w:val="1134"/>
        </w:trPr>
        <w:tc>
          <w:tcPr>
            <w:tcW w:w="3685" w:type="dxa"/>
          </w:tcPr>
          <w:p w14:paraId="155D11FD" w14:textId="77777777" w:rsidR="00662AD0" w:rsidRPr="00AC79DE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2E87DB65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983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Insignificant impact</w:t>
            </w:r>
          </w:p>
          <w:p w14:paraId="2CF88C4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4837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Minor impact</w:t>
            </w:r>
          </w:p>
          <w:p w14:paraId="562A70C9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1904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Moderate impact</w:t>
            </w:r>
          </w:p>
          <w:p w14:paraId="3535A590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691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Major impact</w:t>
            </w:r>
          </w:p>
          <w:p w14:paraId="661D574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color w:val="2E74B5" w:themeColor="accent1" w:themeShade="BF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205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Critical impact</w:t>
            </w:r>
          </w:p>
        </w:tc>
        <w:tc>
          <w:tcPr>
            <w:tcW w:w="1984" w:type="dxa"/>
          </w:tcPr>
          <w:p w14:paraId="0EAA5A6C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0552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Rare</w:t>
            </w:r>
          </w:p>
          <w:p w14:paraId="385B9EF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168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Unlikely</w:t>
            </w:r>
          </w:p>
          <w:p w14:paraId="2DEEAA13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902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Possible</w:t>
            </w:r>
          </w:p>
          <w:p w14:paraId="37FF58CB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2842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Likely</w:t>
            </w:r>
          </w:p>
          <w:p w14:paraId="59FE3EEF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7741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Almost certain</w:t>
            </w:r>
          </w:p>
        </w:tc>
        <w:tc>
          <w:tcPr>
            <w:tcW w:w="1984" w:type="dxa"/>
          </w:tcPr>
          <w:p w14:paraId="09C132D7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410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Low risk</w:t>
            </w:r>
          </w:p>
          <w:p w14:paraId="53C817AE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821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Medium risk</w:t>
            </w:r>
          </w:p>
          <w:p w14:paraId="3E41432E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187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High risk</w:t>
            </w:r>
          </w:p>
          <w:p w14:paraId="68BB14CC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797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Extreme risk</w:t>
            </w:r>
          </w:p>
          <w:p w14:paraId="6C19D52F" w14:textId="77777777" w:rsidR="00662AD0" w:rsidRPr="00662AD0" w:rsidRDefault="00662AD0" w:rsidP="00831A8E">
            <w:pPr>
              <w:spacing w:before="0" w:after="0" w:line="264" w:lineRule="auto"/>
              <w:rPr>
                <w:rFonts w:cs="Arial"/>
                <w:szCs w:val="18"/>
              </w:rPr>
            </w:pPr>
          </w:p>
        </w:tc>
        <w:tc>
          <w:tcPr>
            <w:tcW w:w="2948" w:type="dxa"/>
          </w:tcPr>
          <w:p w14:paraId="36146EAD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48E6AD67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</w:tr>
      <w:tr w:rsidR="00662AD0" w:rsidRPr="005652C4" w14:paraId="118EB527" w14:textId="77777777" w:rsidTr="00C17342">
        <w:trPr>
          <w:trHeight w:val="1134"/>
        </w:trPr>
        <w:tc>
          <w:tcPr>
            <w:tcW w:w="3685" w:type="dxa"/>
          </w:tcPr>
          <w:p w14:paraId="4380415E" w14:textId="77777777" w:rsidR="00662AD0" w:rsidRPr="00AC79DE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2A5881AD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0824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Insignificant impact</w:t>
            </w:r>
          </w:p>
          <w:p w14:paraId="20738B1D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645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Minor impact</w:t>
            </w:r>
          </w:p>
          <w:p w14:paraId="0BAC930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820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Moderate impact</w:t>
            </w:r>
          </w:p>
          <w:p w14:paraId="769155EC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3543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Major impact</w:t>
            </w:r>
          </w:p>
          <w:p w14:paraId="409A2B8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color w:val="2E74B5" w:themeColor="accent1" w:themeShade="BF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488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Critical impact</w:t>
            </w:r>
          </w:p>
        </w:tc>
        <w:tc>
          <w:tcPr>
            <w:tcW w:w="1984" w:type="dxa"/>
          </w:tcPr>
          <w:p w14:paraId="7584D05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3587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Rare</w:t>
            </w:r>
          </w:p>
          <w:p w14:paraId="033A05A2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394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Unlikely</w:t>
            </w:r>
          </w:p>
          <w:p w14:paraId="63F6D1EB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910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Possible</w:t>
            </w:r>
          </w:p>
          <w:p w14:paraId="0EE01BD0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7582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Likely</w:t>
            </w:r>
          </w:p>
          <w:p w14:paraId="4697B335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976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Almost certain</w:t>
            </w:r>
          </w:p>
        </w:tc>
        <w:tc>
          <w:tcPr>
            <w:tcW w:w="1984" w:type="dxa"/>
          </w:tcPr>
          <w:p w14:paraId="44C2DE62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0582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Low risk</w:t>
            </w:r>
          </w:p>
          <w:p w14:paraId="02DA1F2F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1191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Medium risk</w:t>
            </w:r>
          </w:p>
          <w:p w14:paraId="04EB0FC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3837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High risk</w:t>
            </w:r>
          </w:p>
          <w:p w14:paraId="48C97753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1431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Extreme risk</w:t>
            </w:r>
          </w:p>
          <w:p w14:paraId="73F38BCC" w14:textId="77777777" w:rsidR="00662AD0" w:rsidRPr="00662AD0" w:rsidRDefault="00662AD0" w:rsidP="00831A8E">
            <w:pPr>
              <w:spacing w:before="0" w:after="0" w:line="264" w:lineRule="auto"/>
              <w:rPr>
                <w:rFonts w:cs="Arial"/>
                <w:szCs w:val="18"/>
              </w:rPr>
            </w:pPr>
          </w:p>
        </w:tc>
        <w:tc>
          <w:tcPr>
            <w:tcW w:w="2948" w:type="dxa"/>
          </w:tcPr>
          <w:p w14:paraId="61470E2A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7DF7413D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</w:tr>
      <w:tr w:rsidR="00662AD0" w:rsidRPr="005652C4" w14:paraId="3BFC3027" w14:textId="77777777" w:rsidTr="00C17342">
        <w:trPr>
          <w:trHeight w:val="1134"/>
        </w:trPr>
        <w:tc>
          <w:tcPr>
            <w:tcW w:w="3685" w:type="dxa"/>
          </w:tcPr>
          <w:p w14:paraId="2AC8538A" w14:textId="77777777" w:rsidR="00662AD0" w:rsidRPr="00AC79DE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62399BB7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856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Insignificant impact</w:t>
            </w:r>
          </w:p>
          <w:p w14:paraId="5717995D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5040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Minor impact</w:t>
            </w:r>
          </w:p>
          <w:p w14:paraId="3F63757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754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Moderate impact</w:t>
            </w:r>
          </w:p>
          <w:p w14:paraId="659EAA5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2046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Major impact</w:t>
            </w:r>
          </w:p>
          <w:p w14:paraId="12FA2127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color w:val="2E74B5" w:themeColor="accent1" w:themeShade="BF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953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Critical impact</w:t>
            </w:r>
          </w:p>
        </w:tc>
        <w:tc>
          <w:tcPr>
            <w:tcW w:w="1984" w:type="dxa"/>
          </w:tcPr>
          <w:p w14:paraId="20D6A292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1359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Rare</w:t>
            </w:r>
          </w:p>
          <w:p w14:paraId="652786DD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4204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Unlikely</w:t>
            </w:r>
          </w:p>
          <w:p w14:paraId="386DC59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28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Possible</w:t>
            </w:r>
          </w:p>
          <w:p w14:paraId="664234FA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6951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Likely</w:t>
            </w:r>
          </w:p>
          <w:p w14:paraId="14F75615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3417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Almost certain</w:t>
            </w:r>
          </w:p>
        </w:tc>
        <w:tc>
          <w:tcPr>
            <w:tcW w:w="1984" w:type="dxa"/>
          </w:tcPr>
          <w:p w14:paraId="6FAE0F62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593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Low risk</w:t>
            </w:r>
          </w:p>
          <w:p w14:paraId="039125CE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5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Medium risk</w:t>
            </w:r>
          </w:p>
          <w:p w14:paraId="72640568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163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High risk</w:t>
            </w:r>
          </w:p>
          <w:p w14:paraId="0230621E" w14:textId="77777777" w:rsidR="00662AD0" w:rsidRPr="00662AD0" w:rsidRDefault="00BD6521" w:rsidP="00831A8E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1657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D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62AD0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Extreme risk</w:t>
            </w:r>
          </w:p>
          <w:p w14:paraId="1530CBC7" w14:textId="77777777" w:rsidR="00662AD0" w:rsidRPr="00662AD0" w:rsidRDefault="00662AD0" w:rsidP="00831A8E">
            <w:pPr>
              <w:spacing w:before="0" w:after="0" w:line="264" w:lineRule="auto"/>
              <w:rPr>
                <w:rFonts w:cs="Arial"/>
                <w:szCs w:val="18"/>
              </w:rPr>
            </w:pPr>
          </w:p>
        </w:tc>
        <w:tc>
          <w:tcPr>
            <w:tcW w:w="2948" w:type="dxa"/>
          </w:tcPr>
          <w:p w14:paraId="0C065196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6974AC20" w14:textId="77777777" w:rsidR="00662AD0" w:rsidRPr="005652C4" w:rsidRDefault="00662AD0" w:rsidP="00662AD0">
            <w:pPr>
              <w:rPr>
                <w:color w:val="2E74B5" w:themeColor="accent1" w:themeShade="BF"/>
              </w:rPr>
            </w:pPr>
          </w:p>
        </w:tc>
      </w:tr>
      <w:tr w:rsidR="00BD1282" w:rsidRPr="005652C4" w14:paraId="5CC072F0" w14:textId="77777777" w:rsidTr="00C17342">
        <w:trPr>
          <w:trHeight w:val="1134"/>
        </w:trPr>
        <w:tc>
          <w:tcPr>
            <w:tcW w:w="3685" w:type="dxa"/>
          </w:tcPr>
          <w:p w14:paraId="54D00A8E" w14:textId="77777777" w:rsidR="00BD1282" w:rsidRPr="00AC79DE" w:rsidRDefault="00BD1282" w:rsidP="00BD1282">
            <w:pPr>
              <w:rPr>
                <w:color w:val="2E74B5" w:themeColor="accent1" w:themeShade="BF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C31C0E1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907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Insignificant impact</w:t>
            </w:r>
          </w:p>
          <w:p w14:paraId="2BC142AB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9269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Minor impact</w:t>
            </w:r>
          </w:p>
          <w:p w14:paraId="3027662D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22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Moderate impact</w:t>
            </w:r>
          </w:p>
          <w:p w14:paraId="72878DD5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197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Major impact</w:t>
            </w:r>
          </w:p>
          <w:p w14:paraId="55591B24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color w:val="2E74B5" w:themeColor="accent1" w:themeShade="BF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7313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Critical impact</w:t>
            </w:r>
          </w:p>
        </w:tc>
        <w:tc>
          <w:tcPr>
            <w:tcW w:w="1984" w:type="dxa"/>
          </w:tcPr>
          <w:p w14:paraId="56730A2B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549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Rare</w:t>
            </w:r>
          </w:p>
          <w:p w14:paraId="165A0883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836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Unlikely</w:t>
            </w:r>
          </w:p>
          <w:p w14:paraId="17054ADB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8770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Possible</w:t>
            </w:r>
          </w:p>
          <w:p w14:paraId="41156F0D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801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Likely</w:t>
            </w:r>
          </w:p>
          <w:p w14:paraId="6E52281A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453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Almost certain</w:t>
            </w:r>
          </w:p>
        </w:tc>
        <w:tc>
          <w:tcPr>
            <w:tcW w:w="1984" w:type="dxa"/>
          </w:tcPr>
          <w:p w14:paraId="60D95A3D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671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Low risk</w:t>
            </w:r>
          </w:p>
          <w:p w14:paraId="0D67CC7A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5331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Medium risk</w:t>
            </w:r>
          </w:p>
          <w:p w14:paraId="621C1087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3545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High risk</w:t>
            </w:r>
          </w:p>
          <w:p w14:paraId="69B2EB53" w14:textId="77777777" w:rsidR="00BD1282" w:rsidRPr="00662AD0" w:rsidRDefault="00BD6521" w:rsidP="00BD1282">
            <w:pPr>
              <w:spacing w:before="0" w:after="0" w:line="264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6190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8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D1282" w:rsidRPr="00662AD0">
              <w:rPr>
                <w:rFonts w:cs="Arial"/>
                <w:szCs w:val="18"/>
              </w:rPr>
              <w:t xml:space="preserve"> </w:t>
            </w:r>
            <w:r w:rsidR="008D48F7">
              <w:rPr>
                <w:rFonts w:cs="Arial"/>
                <w:szCs w:val="18"/>
              </w:rPr>
              <w:t>Extreme risk</w:t>
            </w:r>
          </w:p>
          <w:p w14:paraId="0FFAB8A8" w14:textId="77777777" w:rsidR="00BD1282" w:rsidRPr="00662AD0" w:rsidRDefault="00BD1282" w:rsidP="00BD1282">
            <w:pPr>
              <w:spacing w:before="0" w:after="0" w:line="264" w:lineRule="auto"/>
              <w:rPr>
                <w:rFonts w:cs="Arial"/>
                <w:szCs w:val="18"/>
              </w:rPr>
            </w:pPr>
          </w:p>
        </w:tc>
        <w:tc>
          <w:tcPr>
            <w:tcW w:w="2948" w:type="dxa"/>
          </w:tcPr>
          <w:p w14:paraId="208AAEEB" w14:textId="77777777" w:rsidR="00BD1282" w:rsidRPr="005652C4" w:rsidRDefault="00BD1282" w:rsidP="00BD1282">
            <w:pPr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03653575" w14:textId="77777777" w:rsidR="00BD1282" w:rsidRPr="005652C4" w:rsidRDefault="00BD1282" w:rsidP="00BD1282">
            <w:pPr>
              <w:rPr>
                <w:color w:val="2E74B5" w:themeColor="accent1" w:themeShade="BF"/>
              </w:rPr>
            </w:pPr>
          </w:p>
        </w:tc>
      </w:tr>
    </w:tbl>
    <w:p w14:paraId="5E064C2F" w14:textId="77777777" w:rsidR="00E04B8F" w:rsidRPr="00AC79DE" w:rsidRDefault="00E04B8F" w:rsidP="00AC79DE">
      <w:pPr>
        <w:pStyle w:val="Heading2"/>
        <w:spacing w:line="240" w:lineRule="auto"/>
        <w:rPr>
          <w:color w:val="2F5496" w:themeColor="accent5" w:themeShade="BF"/>
        </w:rPr>
      </w:pPr>
      <w:r w:rsidRPr="00AC79DE">
        <w:rPr>
          <w:color w:val="2F5496" w:themeColor="accent5" w:themeShade="BF"/>
        </w:rPr>
        <w:lastRenderedPageBreak/>
        <w:t>Responses for unmanaged identified risk</w:t>
      </w:r>
    </w:p>
    <w:p w14:paraId="32A58F9A" w14:textId="77777777" w:rsidR="00E04B8F" w:rsidRPr="0043780F" w:rsidRDefault="00E04B8F" w:rsidP="0043780F">
      <w:pPr>
        <w:rPr>
          <w:b/>
        </w:rPr>
      </w:pPr>
      <w:r w:rsidRPr="0043780F">
        <w:rPr>
          <w:b/>
        </w:rPr>
        <w:t xml:space="preserve">Please ensure this completed form </w:t>
      </w:r>
      <w:proofErr w:type="gramStart"/>
      <w:r w:rsidRPr="0043780F">
        <w:rPr>
          <w:b/>
        </w:rPr>
        <w:t>is uploaded</w:t>
      </w:r>
      <w:proofErr w:type="gramEnd"/>
      <w:r w:rsidRPr="0043780F">
        <w:rPr>
          <w:b/>
        </w:rPr>
        <w:t xml:space="preserve"> to the student’s individual </w:t>
      </w:r>
      <w:proofErr w:type="spellStart"/>
      <w:r w:rsidRPr="0043780F">
        <w:rPr>
          <w:b/>
        </w:rPr>
        <w:t>OneSchool</w:t>
      </w:r>
      <w:proofErr w:type="spellEnd"/>
      <w:r w:rsidRPr="0043780F">
        <w:rPr>
          <w:b/>
        </w:rPr>
        <w:t xml:space="preserve"> Support record.</w:t>
      </w:r>
    </w:p>
    <w:p w14:paraId="1482C956" w14:textId="77777777" w:rsidR="00B46793" w:rsidRDefault="00E04B8F" w:rsidP="00B46793">
      <w:pPr>
        <w:spacing w:after="0"/>
      </w:pPr>
      <w:r w:rsidRPr="000F3396">
        <w:t xml:space="preserve">The planned use of a restrictive practice is not a risk </w:t>
      </w:r>
      <w:r w:rsidR="008D48F7">
        <w:t>action or control</w:t>
      </w:r>
      <w:r w:rsidRPr="000F3396">
        <w:t xml:space="preserve"> strategy; </w:t>
      </w:r>
      <w:r w:rsidR="00B46793">
        <w:t xml:space="preserve">restrictive practices are a risk treatment strategy that </w:t>
      </w:r>
      <w:proofErr w:type="gramStart"/>
      <w:r w:rsidR="00B46793">
        <w:t>must only be used</w:t>
      </w:r>
      <w:proofErr w:type="gramEnd"/>
      <w:r w:rsidR="00B46793">
        <w:t xml:space="preserve"> where:</w:t>
      </w:r>
    </w:p>
    <w:p w14:paraId="7872992B" w14:textId="77777777" w:rsidR="00B46793" w:rsidRDefault="00B46793" w:rsidP="00B46793">
      <w:pPr>
        <w:spacing w:after="0"/>
      </w:pPr>
      <w:proofErr w:type="gramStart"/>
      <w:r>
        <w:t>a</w:t>
      </w:r>
      <w:proofErr w:type="gramEnd"/>
      <w:r w:rsidR="00E54434">
        <w:t>.</w:t>
      </w:r>
      <w:r>
        <w:t xml:space="preserve"> the restrictive practice is reasonable in all the circumstances; and</w:t>
      </w:r>
    </w:p>
    <w:p w14:paraId="5F6AF7E9" w14:textId="77777777" w:rsidR="00B46793" w:rsidRDefault="00E54434" w:rsidP="00B46793">
      <w:proofErr w:type="gramStart"/>
      <w:r>
        <w:t>b</w:t>
      </w:r>
      <w:proofErr w:type="gramEnd"/>
      <w:r>
        <w:t>.</w:t>
      </w:r>
      <w:r w:rsidR="00B46793">
        <w:t xml:space="preserve"> where there is no less restrictive measure available to respond to the behaviour in the circumstances. </w:t>
      </w:r>
    </w:p>
    <w:p w14:paraId="25B59810" w14:textId="37781F26" w:rsidR="00E04B8F" w:rsidRPr="0043780F" w:rsidRDefault="00B66CAC" w:rsidP="00931748">
      <w:pPr>
        <w:spacing w:after="120"/>
      </w:pPr>
      <w:r>
        <w:t>I</w:t>
      </w:r>
      <w:r w:rsidR="00E04B8F" w:rsidRPr="000F3396">
        <w:t xml:space="preserve">t is a planned approach of </w:t>
      </w:r>
      <w:r w:rsidR="00E04B8F" w:rsidRPr="0043780F">
        <w:rPr>
          <w:b/>
        </w:rPr>
        <w:t>last resort to manage risk when all other alternatives have failed</w:t>
      </w:r>
      <w:r w:rsidR="00E04B8F" w:rsidRPr="000F3396">
        <w:t xml:space="preserve">. If a student has an Individual Student Safety Plan (ISSP) or </w:t>
      </w:r>
      <w:proofErr w:type="gramStart"/>
      <w:r w:rsidR="00E04B8F" w:rsidRPr="000F3396">
        <w:t>as a result</w:t>
      </w:r>
      <w:proofErr w:type="gramEnd"/>
      <w:r w:rsidR="00E04B8F" w:rsidRPr="000F3396">
        <w:t xml:space="preserve"> of an identified behaviour one is being developed, this should be referenced by answering the </w:t>
      </w:r>
      <w:r w:rsidR="00E04B8F">
        <w:t>three</w:t>
      </w:r>
      <w:r w:rsidR="00E04B8F" w:rsidRPr="000F3396">
        <w:t xml:space="preserve"> questions below in the affirmative. The ISSP details the risk management strategy for </w:t>
      </w:r>
      <w:proofErr w:type="gramStart"/>
      <w:r w:rsidR="00E04B8F" w:rsidRPr="000F3396">
        <w:t>identified</w:t>
      </w:r>
      <w:proofErr w:type="gramEnd"/>
      <w:r w:rsidR="00E04B8F" w:rsidRPr="000F3396">
        <w:t>/ known, unmanaged behavioural risk.</w:t>
      </w:r>
      <w:r w:rsidR="00E04B8F" w:rsidRPr="000F3396">
        <w:tab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185"/>
        <w:gridCol w:w="10377"/>
      </w:tblGrid>
      <w:tr w:rsidR="009E16EC" w:rsidRPr="00210783" w14:paraId="7B4C5B87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42975F4D" w14:textId="77777777" w:rsidR="00E04B8F" w:rsidRPr="00210783" w:rsidRDefault="00E04B8F" w:rsidP="00AD2A5F">
            <w:r w:rsidRPr="000F3396">
              <w:t>The student has an ISSP</w:t>
            </w:r>
          </w:p>
        </w:tc>
        <w:tc>
          <w:tcPr>
            <w:tcW w:w="3563" w:type="pct"/>
          </w:tcPr>
          <w:p w14:paraId="442FDD5F" w14:textId="77777777" w:rsidR="00E04B8F" w:rsidRPr="00210783" w:rsidRDefault="00BD6521" w:rsidP="00AD2A5F">
            <w:sdt>
              <w:sdtPr>
                <w:rPr>
                  <w:rFonts w:ascii="Segoe UI Symbol" w:eastAsia="MS Gothic" w:hAnsi="Segoe UI Symbol" w:cs="Segoe UI Symbol"/>
                </w:rPr>
                <w:id w:val="-15185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04B8F" w:rsidRPr="000F3396">
              <w:t xml:space="preserve"> Yes</w:t>
            </w:r>
            <w:r w:rsidR="00E04B8F">
              <w:t xml:space="preserve"> </w:t>
            </w:r>
            <w:r w:rsidR="00E04B8F" w:rsidRPr="000F3396"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73622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04B8F" w:rsidRPr="000F3396">
              <w:t xml:space="preserve"> No</w:t>
            </w:r>
          </w:p>
        </w:tc>
      </w:tr>
      <w:tr w:rsidR="009E16EC" w:rsidRPr="00210783" w14:paraId="10264DE4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3B6037F7" w14:textId="77777777" w:rsidR="00E04B8F" w:rsidRPr="00210783" w:rsidRDefault="00E04B8F" w:rsidP="00AD2A5F">
            <w:r w:rsidRPr="000F3396">
              <w:t>The ISSP details the planned use of a restrictive practice for use to manage identified/ known and unmanaged behavioural risk</w:t>
            </w:r>
          </w:p>
        </w:tc>
        <w:tc>
          <w:tcPr>
            <w:tcW w:w="3563" w:type="pct"/>
          </w:tcPr>
          <w:p w14:paraId="754FC430" w14:textId="77777777" w:rsidR="00E04B8F" w:rsidRPr="00210783" w:rsidRDefault="00BD6521" w:rsidP="00AD2A5F">
            <w:sdt>
              <w:sdtPr>
                <w:rPr>
                  <w:rFonts w:ascii="Segoe UI Symbol" w:eastAsia="MS Gothic" w:hAnsi="Segoe UI Symbol" w:cs="Segoe UI Symbol"/>
                </w:rPr>
                <w:id w:val="-6569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04B8F" w:rsidRPr="000F3396">
              <w:t xml:space="preserve"> Yes</w:t>
            </w:r>
            <w:r w:rsidR="00E04B8F">
              <w:tab/>
            </w:r>
            <w:sdt>
              <w:sdtPr>
                <w:rPr>
                  <w:rFonts w:ascii="MS Gothic" w:eastAsia="MS Gothic" w:hAnsi="MS Gothic"/>
                </w:rPr>
                <w:id w:val="8937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B8F" w:rsidRPr="000F3396">
              <w:t xml:space="preserve"> No</w:t>
            </w:r>
          </w:p>
        </w:tc>
      </w:tr>
      <w:tr w:rsidR="009E16EC" w:rsidRPr="00210783" w14:paraId="638EDB4E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2886DF66" w14:textId="5CC08197" w:rsidR="00E04B8F" w:rsidRPr="00210783" w:rsidRDefault="00E04B8F" w:rsidP="00AD2A5F">
            <w:proofErr w:type="gramStart"/>
            <w:r w:rsidRPr="000F3396">
              <w:t xml:space="preserve">Has a workplace health and safety </w:t>
            </w:r>
            <w:r w:rsidR="00825DA4">
              <w:t>incident</w:t>
            </w:r>
            <w:r w:rsidR="00825DA4" w:rsidRPr="000F3396">
              <w:t xml:space="preserve"> </w:t>
            </w:r>
            <w:r w:rsidRPr="000F3396">
              <w:t xml:space="preserve">been </w:t>
            </w:r>
            <w:r w:rsidR="00825DA4">
              <w:t>recorded</w:t>
            </w:r>
            <w:proofErr w:type="gramEnd"/>
            <w:r w:rsidR="00931748">
              <w:t>?</w:t>
            </w:r>
            <w:r>
              <w:t xml:space="preserve"> </w:t>
            </w:r>
            <w:r w:rsidRPr="009E16EC">
              <w:rPr>
                <w:i/>
              </w:rPr>
              <w:t>(If yes, indicate incident reference below)</w:t>
            </w:r>
          </w:p>
        </w:tc>
        <w:tc>
          <w:tcPr>
            <w:tcW w:w="3563" w:type="pct"/>
          </w:tcPr>
          <w:p w14:paraId="4D64749A" w14:textId="77777777" w:rsidR="00E04B8F" w:rsidRDefault="00BD6521" w:rsidP="00AD2A5F">
            <w:sdt>
              <w:sdtPr>
                <w:rPr>
                  <w:rFonts w:ascii="Segoe UI Symbol" w:eastAsia="MS Gothic" w:hAnsi="Segoe UI Symbol" w:cs="Segoe UI Symbol"/>
                </w:rPr>
                <w:id w:val="7096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04B8F" w:rsidRPr="000F3396">
              <w:t xml:space="preserve"> Yes</w:t>
            </w:r>
            <w:r w:rsidR="00AC79DE"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2247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04B8F" w:rsidRPr="000F3396">
              <w:t xml:space="preserve"> No</w:t>
            </w:r>
          </w:p>
          <w:p w14:paraId="59350F0A" w14:textId="223FFFC6" w:rsidR="004136B7" w:rsidRPr="00210783" w:rsidRDefault="004136B7" w:rsidP="00AD2A5F">
            <w:r>
              <w:t xml:space="preserve">Incident reference: </w:t>
            </w:r>
          </w:p>
        </w:tc>
      </w:tr>
      <w:tr w:rsidR="009E16EC" w:rsidRPr="00210783" w14:paraId="41EA879B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7A803605" w14:textId="77777777" w:rsidR="00E04B8F" w:rsidRPr="008D48F7" w:rsidRDefault="00E04B8F" w:rsidP="00AD2A5F">
            <w:pPr>
              <w:rPr>
                <w:caps/>
                <w:lang w:val="en-GB"/>
              </w:rPr>
            </w:pPr>
            <w:r w:rsidRPr="00210783">
              <w:t>Additional notes and relevant advice</w:t>
            </w:r>
            <w:r w:rsidR="008D48F7">
              <w:t xml:space="preserve"> </w:t>
            </w:r>
            <w:r w:rsidR="009777FB">
              <w:br/>
            </w:r>
            <w:r w:rsidR="008D48F7" w:rsidRPr="008D48F7">
              <w:rPr>
                <w:lang w:val="en-GB"/>
              </w:rPr>
              <w:t>(include key staff members/positions)</w:t>
            </w:r>
          </w:p>
        </w:tc>
        <w:tc>
          <w:tcPr>
            <w:tcW w:w="3563" w:type="pct"/>
          </w:tcPr>
          <w:p w14:paraId="23A5533B" w14:textId="77777777" w:rsidR="00E04B8F" w:rsidRDefault="00E04B8F" w:rsidP="00AD2A5F"/>
          <w:p w14:paraId="1876CA30" w14:textId="77777777" w:rsidR="00E04B8F" w:rsidRDefault="00E04B8F" w:rsidP="00AD2A5F"/>
          <w:p w14:paraId="20375F6B" w14:textId="77777777" w:rsidR="00AD2A5F" w:rsidRDefault="00AD2A5F" w:rsidP="00AD2A5F"/>
          <w:p w14:paraId="07544665" w14:textId="77777777" w:rsidR="00931748" w:rsidRDefault="00931748" w:rsidP="00AD2A5F"/>
          <w:p w14:paraId="471D3ED9" w14:textId="77777777" w:rsidR="00931748" w:rsidRDefault="00931748" w:rsidP="00AD2A5F"/>
          <w:p w14:paraId="4800E07A" w14:textId="77777777" w:rsidR="00931748" w:rsidRDefault="00931748" w:rsidP="00AD2A5F"/>
          <w:p w14:paraId="64B07366" w14:textId="77777777" w:rsidR="00E04B8F" w:rsidRDefault="00E04B8F" w:rsidP="00AD2A5F"/>
          <w:p w14:paraId="6047EA0B" w14:textId="77777777" w:rsidR="00E04B8F" w:rsidRPr="00210783" w:rsidRDefault="00E04B8F" w:rsidP="00AD2A5F"/>
        </w:tc>
      </w:tr>
      <w:tr w:rsidR="009E16EC" w:rsidRPr="00210783" w14:paraId="5E871464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5D611674" w14:textId="77777777" w:rsidR="00E04B8F" w:rsidRPr="00210783" w:rsidRDefault="00E04B8F" w:rsidP="00AD2A5F">
            <w:r w:rsidRPr="00210783">
              <w:t>Name of staff member(s) who prepared plan</w:t>
            </w:r>
          </w:p>
        </w:tc>
        <w:tc>
          <w:tcPr>
            <w:tcW w:w="3563" w:type="pct"/>
          </w:tcPr>
          <w:p w14:paraId="70A7557A" w14:textId="77777777" w:rsidR="00E04B8F" w:rsidRPr="00210783" w:rsidRDefault="00E04B8F" w:rsidP="00AD2A5F"/>
        </w:tc>
      </w:tr>
      <w:tr w:rsidR="009E16EC" w:rsidRPr="00210783" w14:paraId="14E9CBEE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7F262FE5" w14:textId="77777777" w:rsidR="00E04B8F" w:rsidRPr="00210783" w:rsidRDefault="00E04B8F" w:rsidP="00AD2A5F">
            <w:r w:rsidRPr="00210783">
              <w:t>Signature of staff member(s) and date</w:t>
            </w:r>
          </w:p>
        </w:tc>
        <w:tc>
          <w:tcPr>
            <w:tcW w:w="3563" w:type="pct"/>
          </w:tcPr>
          <w:p w14:paraId="77084FC9" w14:textId="77777777" w:rsidR="00E04B8F" w:rsidRPr="00210783" w:rsidRDefault="00E04B8F" w:rsidP="00AD2A5F"/>
        </w:tc>
      </w:tr>
      <w:tr w:rsidR="009E16EC" w:rsidRPr="00210783" w14:paraId="3531F793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68413151" w14:textId="77777777" w:rsidR="00E04B8F" w:rsidRPr="00210783" w:rsidRDefault="00E04B8F" w:rsidP="00AD2A5F">
            <w:r w:rsidRPr="00210783">
              <w:t>Name of principal</w:t>
            </w:r>
          </w:p>
        </w:tc>
        <w:tc>
          <w:tcPr>
            <w:tcW w:w="3563" w:type="pct"/>
          </w:tcPr>
          <w:p w14:paraId="280DD1AF" w14:textId="77777777" w:rsidR="00E04B8F" w:rsidRPr="00210783" w:rsidRDefault="00E04B8F" w:rsidP="00AD2A5F"/>
        </w:tc>
      </w:tr>
      <w:tr w:rsidR="009E16EC" w:rsidRPr="00210783" w14:paraId="3AAB15BF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58F38370" w14:textId="77777777" w:rsidR="00E04B8F" w:rsidRPr="00210783" w:rsidRDefault="00E04B8F" w:rsidP="00AD2A5F">
            <w:r w:rsidRPr="00210783">
              <w:t>Signature of principal and date</w:t>
            </w:r>
          </w:p>
        </w:tc>
        <w:tc>
          <w:tcPr>
            <w:tcW w:w="3563" w:type="pct"/>
          </w:tcPr>
          <w:p w14:paraId="11065301" w14:textId="77777777" w:rsidR="00E04B8F" w:rsidRPr="00210783" w:rsidRDefault="00E04B8F" w:rsidP="00AD2A5F"/>
        </w:tc>
      </w:tr>
      <w:tr w:rsidR="009E16EC" w:rsidRPr="00210783" w14:paraId="718CA05E" w14:textId="77777777" w:rsidTr="00931748">
        <w:trPr>
          <w:jc w:val="center"/>
        </w:trPr>
        <w:tc>
          <w:tcPr>
            <w:tcW w:w="1437" w:type="pct"/>
            <w:shd w:val="clear" w:color="auto" w:fill="F2F2F2" w:themeFill="background1" w:themeFillShade="F2"/>
          </w:tcPr>
          <w:p w14:paraId="506E05B2" w14:textId="77777777" w:rsidR="00E04B8F" w:rsidRPr="00210783" w:rsidRDefault="00E04B8F" w:rsidP="00AD2A5F">
            <w:r w:rsidRPr="00210783">
              <w:t xml:space="preserve">Date the plan will be reviewed </w:t>
            </w:r>
            <w:r w:rsidRPr="00210783">
              <w:rPr>
                <w:i/>
              </w:rPr>
              <w:t>(at least once per semester)</w:t>
            </w:r>
          </w:p>
        </w:tc>
        <w:tc>
          <w:tcPr>
            <w:tcW w:w="3563" w:type="pct"/>
          </w:tcPr>
          <w:p w14:paraId="27DD582E" w14:textId="77777777" w:rsidR="00E04B8F" w:rsidRPr="00210783" w:rsidRDefault="00E04B8F" w:rsidP="00AD2A5F"/>
        </w:tc>
      </w:tr>
    </w:tbl>
    <w:p w14:paraId="3AF1372D" w14:textId="77777777" w:rsidR="00E04B8F" w:rsidRPr="00F62328" w:rsidRDefault="00E04B8F" w:rsidP="00AD2A5F">
      <w:pPr>
        <w:spacing w:before="120"/>
        <w:rPr>
          <w:b/>
        </w:rPr>
      </w:pPr>
      <w:r w:rsidRPr="00F62328">
        <w:rPr>
          <w:b/>
        </w:rPr>
        <w:t xml:space="preserve">Upload a signed copy of the </w:t>
      </w:r>
      <w:r w:rsidRPr="00F62328">
        <w:rPr>
          <w:b/>
          <w:i/>
        </w:rPr>
        <w:t>Risk evaluation form</w:t>
      </w:r>
      <w:r w:rsidRPr="00F62328">
        <w:rPr>
          <w:b/>
        </w:rPr>
        <w:t xml:space="preserve"> and </w:t>
      </w:r>
      <w:r w:rsidRPr="00F62328">
        <w:rPr>
          <w:b/>
          <w:i/>
        </w:rPr>
        <w:t>Responses for unmanaged identified risk</w:t>
      </w:r>
      <w:r w:rsidRPr="00F62328">
        <w:rPr>
          <w:b/>
        </w:rPr>
        <w:t xml:space="preserve"> into the individual student’s </w:t>
      </w:r>
      <w:proofErr w:type="spellStart"/>
      <w:r w:rsidRPr="00F62328">
        <w:rPr>
          <w:b/>
        </w:rPr>
        <w:t>OneSchool</w:t>
      </w:r>
      <w:proofErr w:type="spellEnd"/>
      <w:r w:rsidRPr="00F62328">
        <w:rPr>
          <w:b/>
        </w:rPr>
        <w:t xml:space="preserve"> Support record.</w:t>
      </w:r>
    </w:p>
    <w:p w14:paraId="52DE8B18" w14:textId="77777777" w:rsidR="00F62328" w:rsidRPr="00F62328" w:rsidRDefault="00E04B8F" w:rsidP="00F62328">
      <w:pPr>
        <w:spacing w:after="0"/>
        <w:rPr>
          <w:b/>
          <w:i/>
        </w:rPr>
      </w:pPr>
      <w:r w:rsidRPr="00F62328">
        <w:rPr>
          <w:b/>
          <w:i/>
        </w:rPr>
        <w:t xml:space="preserve">NB Include any source document/s e.g. behaviour plans, </w:t>
      </w:r>
      <w:proofErr w:type="gramStart"/>
      <w:r w:rsidRPr="00F62328">
        <w:rPr>
          <w:b/>
          <w:i/>
        </w:rPr>
        <w:t>stakeholder meeting</w:t>
      </w:r>
      <w:proofErr w:type="gramEnd"/>
      <w:r w:rsidRPr="00F62328">
        <w:rPr>
          <w:b/>
          <w:i/>
        </w:rPr>
        <w:t xml:space="preserve"> notes, psychology reports, which have not been previously uploaded.</w:t>
      </w:r>
    </w:p>
    <w:sectPr w:rsidR="00F62328" w:rsidRPr="00F62328" w:rsidSect="0070124C">
      <w:headerReference w:type="default" r:id="rId11"/>
      <w:footerReference w:type="default" r:id="rId12"/>
      <w:headerReference w:type="first" r:id="rId13"/>
      <w:type w:val="continuous"/>
      <w:pgSz w:w="16840" w:h="11900" w:orient="landscape"/>
      <w:pgMar w:top="680" w:right="1134" w:bottom="1134" w:left="1134" w:header="709" w:footer="355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5338" w14:textId="77777777" w:rsidR="0082429C" w:rsidRDefault="0082429C" w:rsidP="00190C24">
      <w:r>
        <w:separator/>
      </w:r>
    </w:p>
  </w:endnote>
  <w:endnote w:type="continuationSeparator" w:id="0">
    <w:p w14:paraId="72B9E7FB" w14:textId="77777777" w:rsidR="0082429C" w:rsidRDefault="0082429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taOT-Norm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C4EA" w14:textId="4BE673F5" w:rsidR="00931748" w:rsidRPr="00931748" w:rsidRDefault="00F819D9">
    <w:pPr>
      <w:pStyle w:val="Footer"/>
      <w:rPr>
        <w:sz w:val="20"/>
        <w:szCs w:val="20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1" w:history="1">
      <w:r w:rsidR="00BD6521" w:rsidRPr="00823807">
        <w:rPr>
          <w:rStyle w:val="Hyperlink"/>
          <w:sz w:val="16"/>
        </w:rPr>
        <w:t>https://ppr.qed.qld.gov.au/pp/student-discipline-procedure</w:t>
      </w:r>
    </w:hyperlink>
    <w:r w:rsidR="00BD6521">
      <w:rPr>
        <w:sz w:val="16"/>
      </w:rPr>
      <w:t xml:space="preserve"> </w:t>
    </w:r>
    <w:r w:rsidRPr="005E6DDA">
      <w:rPr>
        <w:sz w:val="16"/>
      </w:rPr>
      <w:t>to ensure you have the most current version of this document.</w:t>
    </w:r>
    <w:r w:rsidR="00931748" w:rsidRPr="00931748">
      <w:rPr>
        <w:noProof/>
        <w:sz w:val="20"/>
        <w:szCs w:val="20"/>
      </w:rPr>
      <w:t xml:space="preserve"> </w:t>
    </w:r>
    <w:r w:rsidR="00931748" w:rsidRPr="00931748">
      <w:rPr>
        <w:noProof/>
        <w:sz w:val="20"/>
        <w:szCs w:val="20"/>
        <w:lang w:eastAsia="zh-CN"/>
      </w:rPr>
      <w:drawing>
        <wp:anchor distT="0" distB="0" distL="114300" distR="114300" simplePos="0" relativeHeight="251658240" behindDoc="1" locked="1" layoutInCell="1" allowOverlap="1" wp14:anchorId="34B5DDE0" wp14:editId="400DAE7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64800"/>
          <wp:effectExtent l="0" t="0" r="1905" b="63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 DS A4 landscape corporate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07F1" w14:textId="77777777" w:rsidR="0082429C" w:rsidRDefault="0082429C" w:rsidP="00190C24">
      <w:r>
        <w:separator/>
      </w:r>
    </w:p>
  </w:footnote>
  <w:footnote w:type="continuationSeparator" w:id="0">
    <w:p w14:paraId="16E55396" w14:textId="77777777" w:rsidR="0082429C" w:rsidRDefault="0082429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6FD9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192" behindDoc="1" locked="1" layoutInCell="1" allowOverlap="1" wp14:anchorId="69DB15F8" wp14:editId="14E6B1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9FFF" w14:textId="77777777" w:rsidR="00DA4DB5" w:rsidRDefault="00DA4DB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67EA1D9C" wp14:editId="1B7ECD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B54870"/>
    <w:multiLevelType w:val="hybridMultilevel"/>
    <w:tmpl w:val="452AD378"/>
    <w:lvl w:ilvl="0" w:tplc="984412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4796AA1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C"/>
    <w:rsid w:val="00001C90"/>
    <w:rsid w:val="00042A7D"/>
    <w:rsid w:val="000436FC"/>
    <w:rsid w:val="00075D6C"/>
    <w:rsid w:val="000A7230"/>
    <w:rsid w:val="000B61AC"/>
    <w:rsid w:val="000D678F"/>
    <w:rsid w:val="000F5EE3"/>
    <w:rsid w:val="000F7FDE"/>
    <w:rsid w:val="00160F54"/>
    <w:rsid w:val="0017085C"/>
    <w:rsid w:val="00190C24"/>
    <w:rsid w:val="002371F7"/>
    <w:rsid w:val="00253C8D"/>
    <w:rsid w:val="002776D0"/>
    <w:rsid w:val="0029515B"/>
    <w:rsid w:val="002E6C37"/>
    <w:rsid w:val="002F78A2"/>
    <w:rsid w:val="00322478"/>
    <w:rsid w:val="00333459"/>
    <w:rsid w:val="00337768"/>
    <w:rsid w:val="00364D1A"/>
    <w:rsid w:val="003D4980"/>
    <w:rsid w:val="00404BCA"/>
    <w:rsid w:val="004136B7"/>
    <w:rsid w:val="0043780F"/>
    <w:rsid w:val="00444F85"/>
    <w:rsid w:val="00467D50"/>
    <w:rsid w:val="004912DC"/>
    <w:rsid w:val="004E2CF2"/>
    <w:rsid w:val="004E5BF9"/>
    <w:rsid w:val="00504560"/>
    <w:rsid w:val="0050572F"/>
    <w:rsid w:val="00590218"/>
    <w:rsid w:val="00592C4B"/>
    <w:rsid w:val="00592C57"/>
    <w:rsid w:val="005979F1"/>
    <w:rsid w:val="005F4331"/>
    <w:rsid w:val="00605C31"/>
    <w:rsid w:val="006239A5"/>
    <w:rsid w:val="00636B71"/>
    <w:rsid w:val="00653CFD"/>
    <w:rsid w:val="00662AD0"/>
    <w:rsid w:val="006C1B6E"/>
    <w:rsid w:val="006C3D8E"/>
    <w:rsid w:val="0070124C"/>
    <w:rsid w:val="00717791"/>
    <w:rsid w:val="007318EE"/>
    <w:rsid w:val="00753644"/>
    <w:rsid w:val="00775795"/>
    <w:rsid w:val="00781EFA"/>
    <w:rsid w:val="007D1162"/>
    <w:rsid w:val="0082429C"/>
    <w:rsid w:val="00825DA4"/>
    <w:rsid w:val="00831A8E"/>
    <w:rsid w:val="00853B7B"/>
    <w:rsid w:val="008D48F7"/>
    <w:rsid w:val="008E1B96"/>
    <w:rsid w:val="008E6F9C"/>
    <w:rsid w:val="00907963"/>
    <w:rsid w:val="00931748"/>
    <w:rsid w:val="00937A75"/>
    <w:rsid w:val="00940C2F"/>
    <w:rsid w:val="0096595E"/>
    <w:rsid w:val="00970D66"/>
    <w:rsid w:val="009777FB"/>
    <w:rsid w:val="009E16EC"/>
    <w:rsid w:val="009E5EE5"/>
    <w:rsid w:val="00A47F67"/>
    <w:rsid w:val="00A65710"/>
    <w:rsid w:val="00A778A7"/>
    <w:rsid w:val="00A87C08"/>
    <w:rsid w:val="00AB0A25"/>
    <w:rsid w:val="00AC79DE"/>
    <w:rsid w:val="00AD2A5F"/>
    <w:rsid w:val="00AD56BC"/>
    <w:rsid w:val="00B33337"/>
    <w:rsid w:val="00B46793"/>
    <w:rsid w:val="00B5561B"/>
    <w:rsid w:val="00B638FB"/>
    <w:rsid w:val="00B66CAC"/>
    <w:rsid w:val="00B77953"/>
    <w:rsid w:val="00B8699D"/>
    <w:rsid w:val="00BD1282"/>
    <w:rsid w:val="00BD6521"/>
    <w:rsid w:val="00BD7523"/>
    <w:rsid w:val="00C17342"/>
    <w:rsid w:val="00C36EDF"/>
    <w:rsid w:val="00CB07AD"/>
    <w:rsid w:val="00CD1CF0"/>
    <w:rsid w:val="00CD793C"/>
    <w:rsid w:val="00CF107F"/>
    <w:rsid w:val="00D01CD2"/>
    <w:rsid w:val="00D75050"/>
    <w:rsid w:val="00D842DF"/>
    <w:rsid w:val="00D84572"/>
    <w:rsid w:val="00D9481C"/>
    <w:rsid w:val="00DA4DB5"/>
    <w:rsid w:val="00DC5E03"/>
    <w:rsid w:val="00E0119C"/>
    <w:rsid w:val="00E04B8F"/>
    <w:rsid w:val="00E22573"/>
    <w:rsid w:val="00E238EC"/>
    <w:rsid w:val="00E26F9B"/>
    <w:rsid w:val="00E54434"/>
    <w:rsid w:val="00E56CCC"/>
    <w:rsid w:val="00EC215D"/>
    <w:rsid w:val="00ED0FA7"/>
    <w:rsid w:val="00EF474F"/>
    <w:rsid w:val="00EF4AC5"/>
    <w:rsid w:val="00F105F7"/>
    <w:rsid w:val="00F447A2"/>
    <w:rsid w:val="00F56ADB"/>
    <w:rsid w:val="00F62328"/>
    <w:rsid w:val="00F75FD5"/>
    <w:rsid w:val="00F819D9"/>
    <w:rsid w:val="00FA266D"/>
    <w:rsid w:val="00FA3D77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75EBD7"/>
  <w15:chartTrackingRefBased/>
  <w15:docId w15:val="{DD654151-99F0-4C45-82A5-D6CEBD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05C31"/>
    <w:pPr>
      <w:spacing w:after="6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EC"/>
    <w:pPr>
      <w:widowControl w:val="0"/>
      <w:suppressAutoHyphens/>
      <w:autoSpaceDE w:val="0"/>
      <w:autoSpaceDN w:val="0"/>
      <w:adjustRightInd w:val="0"/>
      <w:spacing w:after="0"/>
      <w:textAlignment w:val="center"/>
      <w:outlineLvl w:val="0"/>
    </w:pPr>
    <w:rPr>
      <w:rFonts w:eastAsia="MS Mincho" w:cs="Arial"/>
      <w:color w:val="2F5496" w:themeColor="accent5" w:themeShade="BF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38EC"/>
    <w:rPr>
      <w:rFonts w:ascii="Arial" w:eastAsia="MS Mincho" w:hAnsi="Arial" w:cs="Arial"/>
      <w:color w:val="2F5496" w:themeColor="accent5" w:themeShade="BF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E04B8F"/>
    <w:pPr>
      <w:spacing w:before="60" w:after="60" w:line="276" w:lineRule="auto"/>
    </w:pPr>
    <w:rPr>
      <w:rFonts w:ascii="Times New Roman" w:eastAsia="Times New Roman" w:hAnsi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Meta10Metastylepalettefor10ptbodycopy">
    <w:name w:val="Body copy (Meta10) (Meta style palette for 10pt body copy)"/>
    <w:basedOn w:val="Normal"/>
    <w:uiPriority w:val="99"/>
    <w:rsid w:val="00B46793"/>
    <w:pPr>
      <w:tabs>
        <w:tab w:val="left" w:pos="283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A4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A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F81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tudent-discipline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20/709552</PPRHPRMRecordNumber>
    <PPRVersionNumber xmlns="http://schemas.microsoft.com/sharepoint/v3">3</PPRVersionNumber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2024-07-24T01:17:50+00:00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Risk assessment - behaviour, safety and wellbeing evaluation form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2024-07-24T01:37:30+00:00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2024-07-24T01:37:30+00:00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2021-02-17T05:04:21+00:00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3237E5-C29B-410B-B9D4-10D5EA92E27D}"/>
</file>

<file path=customXml/itemProps2.xml><?xml version="1.0" encoding="utf-8"?>
<ds:datastoreItem xmlns:ds="http://schemas.openxmlformats.org/officeDocument/2006/customXml" ds:itemID="{84E57F5E-B10F-4D16-9FDE-73BA2E7D6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0813-EEC3-4D0E-BAFE-F59B75344154}">
  <ds:schemaRefs>
    <ds:schemaRef ds:uri="http://purl.org/dc/elements/1.1/"/>
    <ds:schemaRef ds:uri="http://schemas.microsoft.com/office/2006/metadata/properties"/>
    <ds:schemaRef ds:uri="http://purl.org/dc/terms/"/>
    <ds:schemaRef ds:uri="0ae35178-8cb0-44ef-85e4-9768d68ca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206468-b481-430f-871e-129efaa3b2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31E8FE-AB7D-4720-ACD7-99D42D5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behaviour, safety and wellbeing evaluation form</dc:title>
  <dc:subject/>
  <dc:creator>Microsoft Office User</dc:creator>
  <cp:keywords/>
  <dc:description/>
  <cp:lastModifiedBy>WANT, Deb</cp:lastModifiedBy>
  <cp:revision>3</cp:revision>
  <cp:lastPrinted>2017-12-18T04:28:00Z</cp:lastPrinted>
  <dcterms:created xsi:type="dcterms:W3CDTF">2021-02-17T04:20:00Z</dcterms:created>
  <dcterms:modified xsi:type="dcterms:W3CDTF">2021-02-17T05:04:00Z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60200</vt:r8>
  </property>
</Properties>
</file>