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6F18" w14:textId="77777777" w:rsidR="00F1446B" w:rsidRPr="00F07988" w:rsidRDefault="00F1446B" w:rsidP="00E34022">
      <w:pPr>
        <w:pStyle w:val="Heading1"/>
        <w:ind w:left="-993"/>
        <w:rPr>
          <w:sz w:val="50"/>
          <w:szCs w:val="50"/>
        </w:rPr>
      </w:pPr>
      <w:bookmarkStart w:id="0" w:name="_GoBack"/>
      <w:bookmarkEnd w:id="0"/>
      <w:r w:rsidRPr="00F07988">
        <w:rPr>
          <w:sz w:val="50"/>
          <w:szCs w:val="50"/>
        </w:rPr>
        <w:t xml:space="preserve">Scope of </w:t>
      </w:r>
      <w:r w:rsidR="00F07988" w:rsidRPr="00F07988">
        <w:rPr>
          <w:sz w:val="50"/>
          <w:szCs w:val="50"/>
        </w:rPr>
        <w:t>professional d</w:t>
      </w:r>
      <w:r w:rsidRPr="00F07988">
        <w:rPr>
          <w:sz w:val="50"/>
          <w:szCs w:val="50"/>
        </w:rPr>
        <w:t xml:space="preserve">evelopment </w:t>
      </w:r>
      <w:r w:rsidR="00F07988" w:rsidRPr="00F07988">
        <w:rPr>
          <w:sz w:val="50"/>
          <w:szCs w:val="50"/>
        </w:rPr>
        <w:t>o</w:t>
      </w:r>
      <w:r w:rsidRPr="00F07988">
        <w:rPr>
          <w:sz w:val="50"/>
          <w:szCs w:val="50"/>
        </w:rPr>
        <w:t xml:space="preserve">ptions </w:t>
      </w:r>
    </w:p>
    <w:p w14:paraId="7408D7FD" w14:textId="77777777" w:rsidR="00F1446B" w:rsidRPr="00F1446B" w:rsidRDefault="00F1446B" w:rsidP="00F1446B">
      <w:pPr>
        <w:spacing w:after="0"/>
        <w:jc w:val="both"/>
        <w:rPr>
          <w:rFonts w:eastAsia="Times New Roman" w:cs="Arial"/>
          <w:b/>
          <w:sz w:val="20"/>
        </w:rPr>
      </w:pPr>
    </w:p>
    <w:p w14:paraId="1252F0E3" w14:textId="77777777" w:rsidR="00F1446B" w:rsidRPr="00F1446B" w:rsidRDefault="00F1446B" w:rsidP="00F1446B">
      <w:pPr>
        <w:spacing w:after="0" w:line="240" w:lineRule="exact"/>
        <w:ind w:left="-992"/>
        <w:rPr>
          <w:rFonts w:eastAsia="Times" w:cs="Times New Roman"/>
          <w:sz w:val="20"/>
          <w:szCs w:val="20"/>
          <w:lang w:eastAsia="en-AU"/>
        </w:rPr>
      </w:pPr>
      <w:r w:rsidRPr="00F1446B">
        <w:rPr>
          <w:rFonts w:eastAsia="Times" w:cs="Times New Roman"/>
          <w:sz w:val="20"/>
          <w:szCs w:val="20"/>
          <w:lang w:eastAsia="en-AU"/>
        </w:rPr>
        <w:t>Workplace operational plans and individual development plans are the foundation for employee capability development. Professional standards, capability and leadership frameworks, position descriptions and organisational initiatives are excellent references for determining individual professional and capability development priorities.</w:t>
      </w:r>
    </w:p>
    <w:p w14:paraId="12EFDE34" w14:textId="77777777" w:rsidR="00F1446B" w:rsidRPr="00F1446B" w:rsidRDefault="00F1446B" w:rsidP="00F1446B">
      <w:pPr>
        <w:keepLines/>
        <w:tabs>
          <w:tab w:val="left" w:pos="714"/>
        </w:tabs>
        <w:spacing w:after="0" w:line="240" w:lineRule="exact"/>
        <w:ind w:left="-992"/>
        <w:rPr>
          <w:rFonts w:eastAsia="Times" w:cs="Times New Roman"/>
          <w:sz w:val="20"/>
          <w:szCs w:val="20"/>
          <w:lang w:eastAsia="en-AU"/>
        </w:rPr>
      </w:pPr>
    </w:p>
    <w:p w14:paraId="172C2B0A" w14:textId="77777777" w:rsidR="00F1446B" w:rsidRPr="00F1446B" w:rsidRDefault="00F1446B" w:rsidP="00F1446B">
      <w:pPr>
        <w:keepLines/>
        <w:tabs>
          <w:tab w:val="left" w:pos="714"/>
        </w:tabs>
        <w:spacing w:after="0" w:line="240" w:lineRule="exact"/>
        <w:ind w:left="-992"/>
        <w:rPr>
          <w:rFonts w:eastAsia="Times" w:cs="Times New Roman"/>
          <w:sz w:val="20"/>
          <w:szCs w:val="20"/>
          <w:lang w:eastAsia="en-AU"/>
        </w:rPr>
      </w:pPr>
      <w:r w:rsidRPr="00F1446B">
        <w:rPr>
          <w:rFonts w:eastAsia="Times" w:cs="Times New Roman"/>
          <w:sz w:val="20"/>
          <w:szCs w:val="20"/>
          <w:lang w:eastAsia="en-AU"/>
        </w:rPr>
        <w:t xml:space="preserve">Employee capability development can be achieved in many ways. Approaches need to take into account work context, preferred learning style, available providers, budget, time and administrative implications, and relevant Department of Education policies, procedures, guidelines and industrial agreements. The most effective development activities are often on-the-job demonstration, practice and follow-up support. </w:t>
      </w:r>
    </w:p>
    <w:p w14:paraId="147BD050" w14:textId="77777777" w:rsidR="00F1446B" w:rsidRPr="00F1446B" w:rsidRDefault="00F1446B" w:rsidP="00F1446B">
      <w:pPr>
        <w:keepLines/>
        <w:tabs>
          <w:tab w:val="left" w:pos="714"/>
        </w:tabs>
        <w:spacing w:after="0"/>
        <w:ind w:left="357"/>
        <w:jc w:val="both"/>
        <w:rPr>
          <w:rFonts w:eastAsia="Times" w:cs="Times New Roman"/>
          <w:sz w:val="20"/>
          <w:szCs w:val="20"/>
          <w:lang w:eastAsia="en-AU"/>
        </w:rPr>
      </w:pPr>
    </w:p>
    <w:p w14:paraId="6CF350F2" w14:textId="77777777" w:rsidR="00F1446B" w:rsidRPr="00F1446B" w:rsidRDefault="00F1446B" w:rsidP="00F1446B">
      <w:pPr>
        <w:tabs>
          <w:tab w:val="left" w:pos="357"/>
        </w:tabs>
        <w:spacing w:after="0"/>
        <w:jc w:val="both"/>
        <w:rPr>
          <w:rFonts w:eastAsia="Times" w:cs="Times New Roman"/>
          <w:b/>
          <w:i/>
          <w:sz w:val="20"/>
          <w:szCs w:val="20"/>
          <w:lang w:eastAsia="en-AU"/>
        </w:rPr>
      </w:pPr>
      <w:r>
        <w:rPr>
          <w:rFonts w:eastAsia="Times" w:cs="Times New Roman"/>
          <w:noProof/>
          <w:sz w:val="24"/>
          <w:szCs w:val="20"/>
          <w:lang w:eastAsia="zh-CN"/>
        </w:rPr>
        <w:drawing>
          <wp:anchor distT="0" distB="0" distL="114300" distR="114300" simplePos="0" relativeHeight="251660288" behindDoc="0" locked="0" layoutInCell="1" allowOverlap="0" wp14:anchorId="74B5C6F4" wp14:editId="7C9E6703">
            <wp:simplePos x="0" y="0"/>
            <wp:positionH relativeFrom="column">
              <wp:posOffset>-300355</wp:posOffset>
            </wp:positionH>
            <wp:positionV relativeFrom="paragraph">
              <wp:posOffset>99060</wp:posOffset>
            </wp:positionV>
            <wp:extent cx="5486400" cy="4152900"/>
            <wp:effectExtent l="0" t="0" r="0" b="0"/>
            <wp:wrapSquare wrapText="bothSides"/>
            <wp:docPr id="4" name="Picture 4" descr="Development option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velopment options diagram"/>
                    <pic:cNvPicPr>
                      <a:picLocks noChangeAspect="1" noChangeArrowheads="1"/>
                    </pic:cNvPicPr>
                  </pic:nvPicPr>
                  <pic:blipFill>
                    <a:blip r:embed="rId11">
                      <a:extLst>
                        <a:ext uri="{28A0092B-C50C-407E-A947-70E740481C1C}">
                          <a14:useLocalDpi xmlns:a14="http://schemas.microsoft.com/office/drawing/2010/main" val="0"/>
                        </a:ext>
                      </a:extLst>
                    </a:blip>
                    <a:srcRect l="1367" t="4382" r="1157"/>
                    <a:stretch>
                      <a:fillRect/>
                    </a:stretch>
                  </pic:blipFill>
                  <pic:spPr bwMode="auto">
                    <a:xfrm>
                      <a:off x="0" y="0"/>
                      <a:ext cx="5486400"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5437B" w14:textId="77777777" w:rsidR="00F1446B" w:rsidRPr="00F1446B" w:rsidRDefault="00F1446B" w:rsidP="00F1446B">
      <w:pPr>
        <w:tabs>
          <w:tab w:val="left" w:pos="357"/>
        </w:tabs>
        <w:spacing w:after="0"/>
        <w:jc w:val="both"/>
        <w:rPr>
          <w:rFonts w:eastAsia="Times" w:cs="Times New Roman"/>
          <w:b/>
          <w:i/>
          <w:sz w:val="20"/>
          <w:szCs w:val="20"/>
          <w:lang w:eastAsia="en-AU"/>
        </w:rPr>
      </w:pPr>
    </w:p>
    <w:p w14:paraId="26AAB15B" w14:textId="77777777" w:rsidR="00F1446B" w:rsidRPr="00F1446B" w:rsidRDefault="00F1446B" w:rsidP="00F1446B">
      <w:pPr>
        <w:tabs>
          <w:tab w:val="left" w:pos="357"/>
        </w:tabs>
        <w:spacing w:after="0"/>
        <w:jc w:val="center"/>
        <w:rPr>
          <w:rFonts w:eastAsia="Times" w:cs="Times New Roman"/>
          <w:sz w:val="20"/>
          <w:szCs w:val="20"/>
          <w:lang w:eastAsia="en-AU"/>
        </w:rPr>
      </w:pPr>
    </w:p>
    <w:p w14:paraId="7D62CA92" w14:textId="77777777" w:rsidR="00F1446B" w:rsidRPr="00F1446B" w:rsidRDefault="00F1446B" w:rsidP="00F1446B">
      <w:pPr>
        <w:tabs>
          <w:tab w:val="left" w:pos="357"/>
        </w:tabs>
        <w:spacing w:after="0"/>
        <w:jc w:val="center"/>
        <w:rPr>
          <w:rFonts w:eastAsia="Times" w:cs="Times New Roman"/>
          <w:sz w:val="20"/>
          <w:szCs w:val="20"/>
          <w:lang w:eastAsia="en-AU"/>
        </w:rPr>
      </w:pPr>
    </w:p>
    <w:p w14:paraId="52022D10" w14:textId="77777777" w:rsidR="00F1446B" w:rsidRPr="00F1446B" w:rsidRDefault="00F1446B" w:rsidP="00F1446B">
      <w:pPr>
        <w:tabs>
          <w:tab w:val="left" w:pos="357"/>
        </w:tabs>
        <w:spacing w:after="0"/>
        <w:jc w:val="center"/>
        <w:rPr>
          <w:rFonts w:eastAsia="Times" w:cs="Times New Roman"/>
          <w:sz w:val="20"/>
          <w:szCs w:val="20"/>
          <w:lang w:eastAsia="en-AU"/>
        </w:rPr>
      </w:pPr>
    </w:p>
    <w:p w14:paraId="3887998D" w14:textId="77777777" w:rsidR="00F1446B" w:rsidRPr="00F1446B" w:rsidRDefault="00F1446B" w:rsidP="00F1446B">
      <w:pPr>
        <w:tabs>
          <w:tab w:val="left" w:pos="357"/>
        </w:tabs>
        <w:spacing w:after="0"/>
        <w:jc w:val="center"/>
        <w:rPr>
          <w:rFonts w:eastAsia="Times" w:cs="Times New Roman"/>
          <w:sz w:val="20"/>
          <w:szCs w:val="20"/>
          <w:lang w:eastAsia="en-AU"/>
        </w:rPr>
      </w:pPr>
    </w:p>
    <w:p w14:paraId="451A8ECA" w14:textId="77777777" w:rsidR="00F1446B" w:rsidRPr="00F1446B" w:rsidRDefault="00F1446B" w:rsidP="00F1446B">
      <w:pPr>
        <w:tabs>
          <w:tab w:val="left" w:pos="357"/>
        </w:tabs>
        <w:spacing w:after="0"/>
        <w:jc w:val="center"/>
        <w:rPr>
          <w:rFonts w:eastAsia="Times" w:cs="Times New Roman"/>
          <w:sz w:val="20"/>
          <w:szCs w:val="20"/>
          <w:lang w:eastAsia="en-AU"/>
        </w:rPr>
      </w:pPr>
    </w:p>
    <w:p w14:paraId="26E4A9AF" w14:textId="77777777" w:rsidR="00F1446B" w:rsidRPr="00F1446B" w:rsidRDefault="00F1446B" w:rsidP="00F1446B">
      <w:pPr>
        <w:tabs>
          <w:tab w:val="left" w:pos="357"/>
        </w:tabs>
        <w:spacing w:after="0"/>
        <w:jc w:val="center"/>
        <w:rPr>
          <w:rFonts w:eastAsia="Times" w:cs="Times New Roman"/>
          <w:sz w:val="20"/>
          <w:szCs w:val="20"/>
          <w:lang w:eastAsia="en-AU"/>
        </w:rPr>
      </w:pPr>
    </w:p>
    <w:p w14:paraId="2D4E714C" w14:textId="77777777" w:rsidR="00F1446B" w:rsidRPr="00F1446B" w:rsidRDefault="00F1446B" w:rsidP="00F1446B">
      <w:pPr>
        <w:tabs>
          <w:tab w:val="left" w:pos="357"/>
        </w:tabs>
        <w:spacing w:after="0"/>
        <w:jc w:val="center"/>
        <w:rPr>
          <w:rFonts w:eastAsia="Times" w:cs="Times New Roman"/>
          <w:sz w:val="20"/>
          <w:szCs w:val="20"/>
          <w:lang w:eastAsia="en-AU"/>
        </w:rPr>
      </w:pPr>
    </w:p>
    <w:p w14:paraId="355D3877" w14:textId="77777777" w:rsidR="00F1446B" w:rsidRPr="00F1446B" w:rsidRDefault="00F1446B" w:rsidP="00F1446B">
      <w:pPr>
        <w:tabs>
          <w:tab w:val="left" w:pos="357"/>
        </w:tabs>
        <w:spacing w:after="0"/>
        <w:jc w:val="center"/>
        <w:rPr>
          <w:rFonts w:eastAsia="Times" w:cs="Times New Roman"/>
          <w:sz w:val="20"/>
          <w:szCs w:val="20"/>
          <w:lang w:eastAsia="en-AU"/>
        </w:rPr>
      </w:pPr>
    </w:p>
    <w:p w14:paraId="544C0E7D" w14:textId="77777777" w:rsidR="00F1446B" w:rsidRPr="00F1446B" w:rsidRDefault="00F1446B" w:rsidP="00F1446B">
      <w:pPr>
        <w:tabs>
          <w:tab w:val="left" w:pos="357"/>
        </w:tabs>
        <w:spacing w:after="0"/>
        <w:jc w:val="center"/>
        <w:rPr>
          <w:rFonts w:eastAsia="Times" w:cs="Times New Roman"/>
          <w:sz w:val="20"/>
          <w:szCs w:val="20"/>
          <w:lang w:eastAsia="en-AU"/>
        </w:rPr>
      </w:pPr>
    </w:p>
    <w:p w14:paraId="04D4A269" w14:textId="77777777" w:rsidR="00F1446B" w:rsidRPr="00F1446B" w:rsidRDefault="00F1446B" w:rsidP="00F1446B">
      <w:pPr>
        <w:tabs>
          <w:tab w:val="left" w:pos="357"/>
        </w:tabs>
        <w:spacing w:after="0"/>
        <w:jc w:val="center"/>
        <w:rPr>
          <w:rFonts w:eastAsia="Times" w:cs="Times New Roman"/>
          <w:sz w:val="20"/>
          <w:szCs w:val="20"/>
          <w:lang w:eastAsia="en-AU"/>
        </w:rPr>
      </w:pPr>
    </w:p>
    <w:p w14:paraId="6C67572E" w14:textId="77777777" w:rsidR="00F1446B" w:rsidRPr="00F1446B" w:rsidRDefault="00F1446B" w:rsidP="00F1446B">
      <w:pPr>
        <w:tabs>
          <w:tab w:val="left" w:pos="357"/>
        </w:tabs>
        <w:spacing w:after="0"/>
        <w:jc w:val="center"/>
        <w:rPr>
          <w:rFonts w:eastAsia="Times" w:cs="Times New Roman"/>
          <w:sz w:val="20"/>
          <w:szCs w:val="20"/>
          <w:lang w:eastAsia="en-AU"/>
        </w:rPr>
      </w:pPr>
    </w:p>
    <w:p w14:paraId="53887306" w14:textId="77777777" w:rsidR="00F1446B" w:rsidRPr="00F1446B" w:rsidRDefault="00F1446B" w:rsidP="00F1446B">
      <w:pPr>
        <w:tabs>
          <w:tab w:val="left" w:pos="357"/>
        </w:tabs>
        <w:spacing w:after="0"/>
        <w:jc w:val="center"/>
        <w:rPr>
          <w:rFonts w:eastAsia="Times" w:cs="Times New Roman"/>
          <w:sz w:val="20"/>
          <w:szCs w:val="20"/>
          <w:lang w:eastAsia="en-AU"/>
        </w:rPr>
      </w:pPr>
    </w:p>
    <w:p w14:paraId="34B19C00" w14:textId="77777777" w:rsidR="00F1446B" w:rsidRPr="00F1446B" w:rsidRDefault="00F1446B" w:rsidP="00F1446B">
      <w:pPr>
        <w:tabs>
          <w:tab w:val="left" w:pos="357"/>
        </w:tabs>
        <w:spacing w:after="0"/>
        <w:jc w:val="center"/>
        <w:rPr>
          <w:rFonts w:eastAsia="Times" w:cs="Times New Roman"/>
          <w:sz w:val="20"/>
          <w:szCs w:val="20"/>
          <w:lang w:eastAsia="en-AU"/>
        </w:rPr>
      </w:pPr>
    </w:p>
    <w:p w14:paraId="1CBA7848" w14:textId="77777777" w:rsidR="00F1446B" w:rsidRPr="00F1446B" w:rsidRDefault="00F1446B" w:rsidP="00F1446B">
      <w:pPr>
        <w:tabs>
          <w:tab w:val="left" w:pos="357"/>
        </w:tabs>
        <w:spacing w:after="0"/>
        <w:jc w:val="center"/>
        <w:rPr>
          <w:rFonts w:eastAsia="Times" w:cs="Times New Roman"/>
          <w:sz w:val="20"/>
          <w:szCs w:val="20"/>
          <w:lang w:eastAsia="en-AU"/>
        </w:rPr>
      </w:pPr>
    </w:p>
    <w:p w14:paraId="38A51230" w14:textId="77777777" w:rsidR="00F1446B" w:rsidRPr="00F1446B" w:rsidRDefault="00F1446B" w:rsidP="00F1446B">
      <w:pPr>
        <w:tabs>
          <w:tab w:val="left" w:pos="357"/>
        </w:tabs>
        <w:spacing w:after="0"/>
        <w:jc w:val="center"/>
        <w:rPr>
          <w:rFonts w:eastAsia="Times" w:cs="Times New Roman"/>
          <w:sz w:val="20"/>
          <w:szCs w:val="20"/>
          <w:lang w:eastAsia="en-AU"/>
        </w:rPr>
      </w:pPr>
    </w:p>
    <w:p w14:paraId="2FB77F79" w14:textId="77777777" w:rsidR="00F1446B" w:rsidRPr="00F1446B" w:rsidRDefault="00F1446B" w:rsidP="00F1446B">
      <w:pPr>
        <w:tabs>
          <w:tab w:val="left" w:pos="357"/>
        </w:tabs>
        <w:spacing w:after="0"/>
        <w:jc w:val="center"/>
        <w:rPr>
          <w:rFonts w:eastAsia="Times" w:cs="Times New Roman"/>
          <w:sz w:val="20"/>
          <w:szCs w:val="20"/>
          <w:lang w:eastAsia="en-AU"/>
        </w:rPr>
      </w:pPr>
    </w:p>
    <w:p w14:paraId="2DA21C1A" w14:textId="77777777" w:rsidR="00F1446B" w:rsidRPr="00F1446B" w:rsidRDefault="00F1446B" w:rsidP="00F1446B">
      <w:pPr>
        <w:tabs>
          <w:tab w:val="left" w:pos="357"/>
        </w:tabs>
        <w:spacing w:after="0"/>
        <w:jc w:val="center"/>
        <w:rPr>
          <w:rFonts w:eastAsia="Times" w:cs="Times New Roman"/>
          <w:sz w:val="20"/>
          <w:szCs w:val="20"/>
          <w:lang w:eastAsia="en-AU"/>
        </w:rPr>
      </w:pPr>
    </w:p>
    <w:p w14:paraId="3F1CCE70" w14:textId="77777777" w:rsidR="00F1446B" w:rsidRPr="00F1446B" w:rsidRDefault="00F1446B" w:rsidP="00F1446B">
      <w:pPr>
        <w:tabs>
          <w:tab w:val="left" w:pos="357"/>
        </w:tabs>
        <w:spacing w:after="0"/>
        <w:jc w:val="center"/>
        <w:rPr>
          <w:rFonts w:eastAsia="Times" w:cs="Times New Roman"/>
          <w:sz w:val="20"/>
          <w:szCs w:val="20"/>
          <w:lang w:eastAsia="en-AU"/>
        </w:rPr>
      </w:pPr>
    </w:p>
    <w:p w14:paraId="4F2872FB" w14:textId="77777777" w:rsidR="00F1446B" w:rsidRPr="00F1446B" w:rsidRDefault="00F1446B" w:rsidP="00F1446B">
      <w:pPr>
        <w:tabs>
          <w:tab w:val="left" w:pos="357"/>
        </w:tabs>
        <w:spacing w:after="0"/>
        <w:jc w:val="center"/>
        <w:rPr>
          <w:rFonts w:eastAsia="Times" w:cs="Times New Roman"/>
          <w:sz w:val="20"/>
          <w:szCs w:val="20"/>
          <w:lang w:eastAsia="en-AU"/>
        </w:rPr>
      </w:pPr>
    </w:p>
    <w:p w14:paraId="5DCFEE49" w14:textId="77777777" w:rsidR="00F1446B" w:rsidRPr="00F1446B" w:rsidRDefault="00F1446B" w:rsidP="00F1446B">
      <w:pPr>
        <w:tabs>
          <w:tab w:val="left" w:pos="357"/>
        </w:tabs>
        <w:spacing w:after="0"/>
        <w:jc w:val="center"/>
        <w:rPr>
          <w:rFonts w:eastAsia="Times" w:cs="Times New Roman"/>
          <w:sz w:val="20"/>
          <w:szCs w:val="20"/>
          <w:lang w:eastAsia="en-AU"/>
        </w:rPr>
      </w:pPr>
    </w:p>
    <w:p w14:paraId="0CF53DF7" w14:textId="77777777" w:rsidR="00F1446B" w:rsidRPr="00F1446B" w:rsidRDefault="00F1446B" w:rsidP="00F1446B">
      <w:pPr>
        <w:tabs>
          <w:tab w:val="left" w:pos="357"/>
        </w:tabs>
        <w:spacing w:after="0"/>
        <w:jc w:val="center"/>
        <w:rPr>
          <w:rFonts w:eastAsia="Times" w:cs="Times New Roman"/>
          <w:sz w:val="20"/>
          <w:szCs w:val="20"/>
          <w:lang w:eastAsia="en-AU"/>
        </w:rPr>
      </w:pPr>
    </w:p>
    <w:p w14:paraId="3756DF3C" w14:textId="77777777" w:rsidR="00F1446B" w:rsidRPr="00F1446B" w:rsidRDefault="00F1446B" w:rsidP="00F1446B">
      <w:pPr>
        <w:tabs>
          <w:tab w:val="left" w:pos="357"/>
        </w:tabs>
        <w:spacing w:after="0"/>
        <w:jc w:val="center"/>
        <w:rPr>
          <w:rFonts w:eastAsia="Times" w:cs="Times New Roman"/>
          <w:sz w:val="20"/>
          <w:szCs w:val="20"/>
          <w:lang w:eastAsia="en-AU"/>
        </w:rPr>
      </w:pPr>
    </w:p>
    <w:p w14:paraId="1ABEC49C" w14:textId="77777777" w:rsidR="00F1446B" w:rsidRPr="00F1446B" w:rsidRDefault="00F1446B" w:rsidP="00F1446B">
      <w:pPr>
        <w:tabs>
          <w:tab w:val="left" w:pos="357"/>
        </w:tabs>
        <w:spacing w:after="0"/>
        <w:jc w:val="center"/>
        <w:rPr>
          <w:rFonts w:eastAsia="Times" w:cs="Times New Roman"/>
          <w:sz w:val="20"/>
          <w:szCs w:val="20"/>
          <w:lang w:eastAsia="en-AU"/>
        </w:rPr>
      </w:pPr>
    </w:p>
    <w:p w14:paraId="238956E9" w14:textId="77777777" w:rsidR="00F1446B" w:rsidRPr="00F1446B" w:rsidRDefault="00F1446B" w:rsidP="00F1446B">
      <w:pPr>
        <w:tabs>
          <w:tab w:val="left" w:pos="357"/>
        </w:tabs>
        <w:spacing w:after="0"/>
        <w:jc w:val="center"/>
        <w:rPr>
          <w:rFonts w:eastAsia="Times" w:cs="Times New Roman"/>
          <w:sz w:val="20"/>
          <w:szCs w:val="20"/>
          <w:lang w:eastAsia="en-AU"/>
        </w:rPr>
      </w:pPr>
    </w:p>
    <w:p w14:paraId="66D7F1FF" w14:textId="77777777" w:rsidR="00F1446B" w:rsidRPr="00F1446B" w:rsidRDefault="00F1446B" w:rsidP="00F1446B">
      <w:pPr>
        <w:tabs>
          <w:tab w:val="left" w:pos="357"/>
        </w:tabs>
        <w:spacing w:after="0"/>
        <w:jc w:val="center"/>
        <w:rPr>
          <w:rFonts w:eastAsia="Times" w:cs="Times New Roman"/>
          <w:sz w:val="20"/>
          <w:szCs w:val="20"/>
          <w:lang w:eastAsia="en-AU"/>
        </w:rPr>
      </w:pPr>
    </w:p>
    <w:p w14:paraId="056BBD2D" w14:textId="77777777" w:rsidR="00F1446B" w:rsidRPr="00F1446B" w:rsidRDefault="00F1446B" w:rsidP="00F1446B">
      <w:pPr>
        <w:tabs>
          <w:tab w:val="left" w:pos="357"/>
        </w:tabs>
        <w:spacing w:after="0"/>
        <w:jc w:val="center"/>
        <w:rPr>
          <w:rFonts w:eastAsia="Times" w:cs="Times New Roman"/>
          <w:sz w:val="20"/>
          <w:szCs w:val="20"/>
          <w:lang w:eastAsia="en-AU"/>
        </w:rPr>
      </w:pPr>
    </w:p>
    <w:p w14:paraId="11450C4A" w14:textId="77777777" w:rsidR="00F1446B" w:rsidRPr="00F1446B" w:rsidRDefault="00F1446B" w:rsidP="00F1446B">
      <w:pPr>
        <w:tabs>
          <w:tab w:val="left" w:pos="357"/>
        </w:tabs>
        <w:spacing w:after="0"/>
        <w:jc w:val="center"/>
        <w:rPr>
          <w:rFonts w:eastAsia="Times" w:cs="Times New Roman"/>
          <w:sz w:val="20"/>
          <w:szCs w:val="20"/>
          <w:lang w:eastAsia="en-AU"/>
        </w:rPr>
      </w:pPr>
    </w:p>
    <w:p w14:paraId="20F53B6A" w14:textId="77777777" w:rsidR="00F1446B" w:rsidRPr="00F1446B" w:rsidRDefault="00F1446B" w:rsidP="00F1446B">
      <w:pPr>
        <w:tabs>
          <w:tab w:val="left" w:pos="357"/>
        </w:tabs>
        <w:spacing w:after="0"/>
        <w:jc w:val="center"/>
        <w:rPr>
          <w:rFonts w:eastAsia="Times" w:cs="Times New Roman"/>
          <w:sz w:val="20"/>
          <w:szCs w:val="20"/>
          <w:lang w:eastAsia="en-AU"/>
        </w:rPr>
      </w:pPr>
    </w:p>
    <w:p w14:paraId="7AF524C0" w14:textId="77777777" w:rsidR="00F1446B" w:rsidRPr="00F1446B" w:rsidRDefault="00F1446B" w:rsidP="00F07988">
      <w:pPr>
        <w:tabs>
          <w:tab w:val="left" w:pos="357"/>
        </w:tabs>
        <w:spacing w:after="0"/>
        <w:rPr>
          <w:rFonts w:eastAsia="Times" w:cs="Times New Roman"/>
          <w:sz w:val="20"/>
          <w:szCs w:val="20"/>
          <w:lang w:eastAsia="en-AU"/>
        </w:rPr>
      </w:pPr>
      <w:r w:rsidRPr="00F1446B">
        <w:rPr>
          <w:rFonts w:eastAsia="Times" w:cs="Times New Roman"/>
          <w:sz w:val="20"/>
          <w:szCs w:val="20"/>
          <w:lang w:eastAsia="en-AU"/>
        </w:rPr>
        <w:t xml:space="preserve">Figure 1: </w:t>
      </w:r>
    </w:p>
    <w:p w14:paraId="298FD263" w14:textId="77777777" w:rsidR="00F1446B" w:rsidRPr="00F1446B" w:rsidRDefault="00F07988" w:rsidP="00F07988">
      <w:pPr>
        <w:tabs>
          <w:tab w:val="left" w:pos="357"/>
        </w:tabs>
        <w:spacing w:after="0"/>
        <w:rPr>
          <w:rFonts w:eastAsia="Times" w:cs="Times New Roman"/>
          <w:sz w:val="20"/>
          <w:szCs w:val="20"/>
          <w:lang w:eastAsia="en-AU"/>
        </w:rPr>
      </w:pPr>
      <w:r>
        <w:rPr>
          <w:rFonts w:eastAsia="Times" w:cs="Times New Roman"/>
          <w:sz w:val="20"/>
          <w:szCs w:val="20"/>
          <w:lang w:eastAsia="en-AU"/>
        </w:rPr>
        <w:t>Example of</w:t>
      </w:r>
      <w:r w:rsidR="00F1446B" w:rsidRPr="00F1446B">
        <w:rPr>
          <w:rFonts w:eastAsia="Times" w:cs="Times New Roman"/>
          <w:sz w:val="20"/>
          <w:szCs w:val="20"/>
          <w:lang w:eastAsia="en-AU"/>
        </w:rPr>
        <w:t xml:space="preserve"> </w:t>
      </w:r>
      <w:r>
        <w:rPr>
          <w:rFonts w:eastAsia="Times" w:cs="Times New Roman"/>
          <w:sz w:val="20"/>
          <w:szCs w:val="20"/>
          <w:lang w:eastAsia="en-AU"/>
        </w:rPr>
        <w:t>d</w:t>
      </w:r>
      <w:r w:rsidR="00F1446B" w:rsidRPr="00F1446B">
        <w:rPr>
          <w:rFonts w:eastAsia="Times" w:cs="Times New Roman"/>
          <w:sz w:val="20"/>
          <w:szCs w:val="20"/>
          <w:lang w:eastAsia="en-AU"/>
        </w:rPr>
        <w:t xml:space="preserve">evelopment </w:t>
      </w:r>
      <w:r>
        <w:rPr>
          <w:rFonts w:eastAsia="Times" w:cs="Times New Roman"/>
          <w:sz w:val="20"/>
          <w:szCs w:val="20"/>
          <w:lang w:eastAsia="en-AU"/>
        </w:rPr>
        <w:t>o</w:t>
      </w:r>
      <w:r w:rsidR="00F1446B" w:rsidRPr="00F1446B">
        <w:rPr>
          <w:rFonts w:eastAsia="Times" w:cs="Times New Roman"/>
          <w:sz w:val="20"/>
          <w:szCs w:val="20"/>
          <w:lang w:eastAsia="en-AU"/>
        </w:rPr>
        <w:t xml:space="preserve">ptions </w:t>
      </w:r>
    </w:p>
    <w:p w14:paraId="0D86E487" w14:textId="77777777" w:rsidR="00F1446B" w:rsidRDefault="00F1446B" w:rsidP="00F1446B">
      <w:pPr>
        <w:tabs>
          <w:tab w:val="left" w:pos="357"/>
        </w:tabs>
        <w:spacing w:after="0"/>
        <w:jc w:val="both"/>
        <w:rPr>
          <w:rFonts w:eastAsia="Times" w:cs="Times New Roman"/>
          <w:b/>
          <w:i/>
          <w:sz w:val="20"/>
          <w:szCs w:val="20"/>
          <w:lang w:eastAsia="en-AU"/>
        </w:rPr>
      </w:pPr>
    </w:p>
    <w:p w14:paraId="0AF9CA3D" w14:textId="77777777" w:rsidR="003B6D6F" w:rsidRDefault="003B6D6F" w:rsidP="00F1446B">
      <w:pPr>
        <w:tabs>
          <w:tab w:val="left" w:pos="357"/>
        </w:tabs>
        <w:spacing w:after="0"/>
        <w:jc w:val="both"/>
        <w:rPr>
          <w:rFonts w:eastAsia="Times" w:cs="Times New Roman"/>
          <w:b/>
          <w:i/>
          <w:sz w:val="20"/>
          <w:szCs w:val="20"/>
          <w:lang w:eastAsia="en-AU"/>
        </w:rPr>
      </w:pPr>
    </w:p>
    <w:p w14:paraId="2BD04CAB" w14:textId="77777777" w:rsidR="003B6D6F" w:rsidRPr="00F1446B" w:rsidRDefault="003B6D6F" w:rsidP="00F1446B">
      <w:pPr>
        <w:tabs>
          <w:tab w:val="left" w:pos="357"/>
        </w:tabs>
        <w:spacing w:after="0"/>
        <w:jc w:val="both"/>
        <w:rPr>
          <w:rFonts w:eastAsia="Times" w:cs="Times New Roman"/>
          <w:b/>
          <w:i/>
          <w:sz w:val="20"/>
          <w:szCs w:val="20"/>
          <w:lang w:eastAsia="en-AU"/>
        </w:rPr>
      </w:pPr>
    </w:p>
    <w:p w14:paraId="711A1309" w14:textId="77777777" w:rsidR="00E34022" w:rsidRDefault="00E34022">
      <w:pPr>
        <w:spacing w:after="0"/>
        <w:rPr>
          <w:rFonts w:eastAsia="Times" w:cs="Times New Roman"/>
          <w:b/>
          <w:sz w:val="24"/>
          <w:szCs w:val="20"/>
          <w:lang w:eastAsia="en-AU"/>
        </w:rPr>
      </w:pPr>
      <w:r>
        <w:rPr>
          <w:rFonts w:eastAsia="Times" w:cs="Times New Roman"/>
          <w:b/>
          <w:sz w:val="24"/>
          <w:szCs w:val="20"/>
          <w:lang w:eastAsia="en-AU"/>
        </w:rPr>
        <w:br w:type="page"/>
      </w:r>
    </w:p>
    <w:p w14:paraId="10593516" w14:textId="77777777" w:rsidR="00F1446B" w:rsidRPr="00F1446B" w:rsidRDefault="00F1446B" w:rsidP="004C6506">
      <w:pPr>
        <w:tabs>
          <w:tab w:val="left" w:pos="357"/>
        </w:tabs>
        <w:spacing w:before="120"/>
        <w:ind w:left="-992"/>
        <w:rPr>
          <w:rFonts w:eastAsia="Times" w:cs="Times New Roman"/>
          <w:b/>
          <w:sz w:val="24"/>
          <w:szCs w:val="20"/>
          <w:lang w:eastAsia="en-AU"/>
        </w:rPr>
      </w:pPr>
      <w:r w:rsidRPr="00F1446B">
        <w:rPr>
          <w:rFonts w:eastAsia="Times" w:cs="Times New Roman"/>
          <w:b/>
          <w:sz w:val="24"/>
          <w:szCs w:val="20"/>
          <w:lang w:eastAsia="en-AU"/>
        </w:rPr>
        <w:lastRenderedPageBreak/>
        <w:t xml:space="preserve">Professional </w:t>
      </w:r>
      <w:r w:rsidR="00DE6B4E">
        <w:rPr>
          <w:rFonts w:eastAsia="Times" w:cs="Times New Roman"/>
          <w:b/>
          <w:sz w:val="24"/>
          <w:szCs w:val="20"/>
          <w:lang w:eastAsia="en-AU"/>
        </w:rPr>
        <w:t>p</w:t>
      </w:r>
      <w:r w:rsidRPr="00F1446B">
        <w:rPr>
          <w:rFonts w:eastAsia="Times" w:cs="Times New Roman"/>
          <w:b/>
          <w:sz w:val="24"/>
          <w:szCs w:val="20"/>
          <w:lang w:eastAsia="en-AU"/>
        </w:rPr>
        <w:t>ractice</w:t>
      </w:r>
    </w:p>
    <w:p w14:paraId="4956475C" w14:textId="77777777" w:rsidR="00F1446B" w:rsidRPr="004C6506" w:rsidRDefault="00F1446B" w:rsidP="00F1446B">
      <w:pPr>
        <w:tabs>
          <w:tab w:val="left" w:pos="357"/>
        </w:tabs>
        <w:spacing w:after="0"/>
        <w:ind w:left="-993"/>
        <w:rPr>
          <w:rFonts w:eastAsia="Times" w:cs="Times New Roman"/>
          <w:sz w:val="20"/>
          <w:szCs w:val="20"/>
          <w:lang w:eastAsia="en-AU"/>
        </w:rPr>
      </w:pPr>
      <w:r w:rsidRPr="004C6506">
        <w:rPr>
          <w:rFonts w:eastAsia="Times" w:cs="Times New Roman"/>
          <w:sz w:val="20"/>
          <w:szCs w:val="20"/>
          <w:lang w:eastAsia="en-AU"/>
        </w:rPr>
        <w:t>Professional practice may include:</w:t>
      </w:r>
    </w:p>
    <w:p w14:paraId="0DFC815F"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participating in formal professional learning events, such as seminars, conferences, case studies, study groups and workshops</w:t>
      </w:r>
    </w:p>
    <w:p w14:paraId="2AFBD109"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 xml:space="preserve">participating in vocational education and training related activities </w:t>
      </w:r>
      <w:r w:rsidR="00EE586D">
        <w:rPr>
          <w:rFonts w:eastAsia="Times" w:cs="Times New Roman"/>
          <w:sz w:val="20"/>
          <w:szCs w:val="20"/>
          <w:lang w:eastAsia="en-AU"/>
        </w:rPr>
        <w:t>- including release to industry</w:t>
      </w:r>
    </w:p>
    <w:p w14:paraId="198F109A"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undertaking tertiary qualifications, online courses, short courses, distance learning</w:t>
      </w:r>
    </w:p>
    <w:p w14:paraId="207C9E9E"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undertaking industry placement and vocational education and training accreditation programs</w:t>
      </w:r>
    </w:p>
    <w:p w14:paraId="67DDCF7D"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networking with colleagues, other professionals, advisors and supervisors</w:t>
      </w:r>
    </w:p>
    <w:p w14:paraId="436DE22D"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conducting research/action learning projects/collaborative enquiries</w:t>
      </w:r>
    </w:p>
    <w:p w14:paraId="698AA42C"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developing quality teaching and learning resources and assessment tools</w:t>
      </w:r>
    </w:p>
    <w:p w14:paraId="06C9254C"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developing courses and/or qualifications</w:t>
      </w:r>
    </w:p>
    <w:p w14:paraId="6DA88B01"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delivering courses and/or workshops</w:t>
      </w:r>
    </w:p>
    <w:p w14:paraId="75E9A09E" w14:textId="77777777" w:rsidR="00F1446B" w:rsidRPr="00F1446B" w:rsidRDefault="00F1446B" w:rsidP="00A46D0F">
      <w:pPr>
        <w:keepLines/>
        <w:numPr>
          <w:ilvl w:val="1"/>
          <w:numId w:val="3"/>
        </w:numPr>
        <w:tabs>
          <w:tab w:val="clear" w:pos="1080"/>
        </w:tabs>
        <w:spacing w:before="120" w:after="0" w:line="240" w:lineRule="exact"/>
        <w:ind w:left="-425" w:hanging="363"/>
        <w:rPr>
          <w:rFonts w:eastAsia="Times" w:cs="Times New Roman"/>
          <w:sz w:val="20"/>
          <w:szCs w:val="20"/>
          <w:lang w:eastAsia="en-AU"/>
        </w:rPr>
      </w:pPr>
      <w:r w:rsidRPr="00F1446B">
        <w:rPr>
          <w:rFonts w:eastAsia="Times" w:cs="Times New Roman"/>
          <w:sz w:val="20"/>
          <w:szCs w:val="20"/>
          <w:lang w:eastAsia="en-AU"/>
        </w:rPr>
        <w:t>undertaking higher education programs in professional speciality areas</w:t>
      </w:r>
    </w:p>
    <w:p w14:paraId="1EC3C5F6" w14:textId="77777777" w:rsidR="00F1446B" w:rsidRDefault="00F1446B" w:rsidP="00F1446B">
      <w:pPr>
        <w:tabs>
          <w:tab w:val="left" w:pos="357"/>
        </w:tabs>
        <w:spacing w:after="0"/>
        <w:ind w:left="-993"/>
        <w:rPr>
          <w:rFonts w:eastAsia="Times" w:cs="Times New Roman"/>
          <w:b/>
          <w:i/>
          <w:sz w:val="20"/>
          <w:szCs w:val="20"/>
          <w:lang w:eastAsia="en-AU"/>
        </w:rPr>
      </w:pPr>
    </w:p>
    <w:p w14:paraId="578E2BE2" w14:textId="77777777" w:rsidR="004C6506" w:rsidRPr="00F1446B" w:rsidRDefault="004C6506" w:rsidP="00F1446B">
      <w:pPr>
        <w:tabs>
          <w:tab w:val="left" w:pos="357"/>
        </w:tabs>
        <w:spacing w:after="0"/>
        <w:ind w:left="-993"/>
        <w:rPr>
          <w:rFonts w:eastAsia="Times" w:cs="Times New Roman"/>
          <w:b/>
          <w:i/>
          <w:sz w:val="20"/>
          <w:szCs w:val="20"/>
          <w:lang w:eastAsia="en-AU"/>
        </w:rPr>
      </w:pPr>
    </w:p>
    <w:p w14:paraId="04365BD1" w14:textId="77777777" w:rsidR="00F1446B" w:rsidRPr="00F1446B" w:rsidRDefault="00F1446B" w:rsidP="004C6506">
      <w:pPr>
        <w:tabs>
          <w:tab w:val="left" w:pos="357"/>
        </w:tabs>
        <w:spacing w:before="120"/>
        <w:ind w:left="-992"/>
        <w:rPr>
          <w:rFonts w:eastAsia="Times" w:cs="Times New Roman"/>
          <w:b/>
          <w:sz w:val="24"/>
          <w:szCs w:val="20"/>
          <w:lang w:eastAsia="en-AU"/>
        </w:rPr>
      </w:pPr>
      <w:r w:rsidRPr="00F1446B">
        <w:rPr>
          <w:rFonts w:eastAsia="Times" w:cs="Times New Roman"/>
          <w:b/>
          <w:sz w:val="24"/>
          <w:szCs w:val="20"/>
          <w:lang w:eastAsia="en-AU"/>
        </w:rPr>
        <w:t xml:space="preserve">Leadership </w:t>
      </w:r>
    </w:p>
    <w:p w14:paraId="346D04D1" w14:textId="77777777" w:rsidR="00F1446B" w:rsidRPr="00F1446B" w:rsidRDefault="00F1446B" w:rsidP="004C6506">
      <w:pPr>
        <w:tabs>
          <w:tab w:val="left" w:pos="357"/>
        </w:tabs>
        <w:spacing w:after="0" w:line="-240" w:lineRule="auto"/>
        <w:ind w:left="-426" w:hanging="567"/>
        <w:rPr>
          <w:rFonts w:eastAsia="Times" w:cs="Times New Roman"/>
          <w:sz w:val="20"/>
          <w:szCs w:val="20"/>
          <w:lang w:eastAsia="en-AU"/>
        </w:rPr>
      </w:pPr>
      <w:r w:rsidRPr="00F1446B">
        <w:rPr>
          <w:rFonts w:eastAsia="Times" w:cs="Times New Roman"/>
          <w:sz w:val="20"/>
          <w:szCs w:val="20"/>
          <w:lang w:eastAsia="en-AU"/>
        </w:rPr>
        <w:t>Specific leadership, professional and teaching capability development options include:</w:t>
      </w:r>
    </w:p>
    <w:p w14:paraId="555E9FFD"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contributing as a writer or editor to professional journals and relevant publications</w:t>
      </w:r>
    </w:p>
    <w:p w14:paraId="2A2C937D"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developing policy and/or managing implementation of policy</w:t>
      </w:r>
    </w:p>
    <w:p w14:paraId="0B22EF71"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accepting formal representative positions on professional bodies or their subcommittees - e.g. boards of study and registration boards, industry skills councils and working groups</w:t>
      </w:r>
    </w:p>
    <w:p w14:paraId="56486B09"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accepting leadership positions in a professional association or network</w:t>
      </w:r>
    </w:p>
    <w:p w14:paraId="333F1FD2"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planning, organising, delivering and evaluating a professional development program or activity</w:t>
      </w:r>
    </w:p>
    <w:p w14:paraId="17B4962E"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presenting research findings to colleagues at seminars, conferences or workshops</w:t>
      </w:r>
    </w:p>
    <w:p w14:paraId="05F222DA"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trialling new initiatives individually and/or with colleagues</w:t>
      </w:r>
    </w:p>
    <w:p w14:paraId="352FCB41"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undertaking formal leadership and management development programs and activities</w:t>
      </w:r>
    </w:p>
    <w:p w14:paraId="05955016"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managing change within the workplace</w:t>
      </w:r>
    </w:p>
    <w:p w14:paraId="4C2E1CCE"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undertaking secondments, job rotation, higher duties or relieving opportunities</w:t>
      </w:r>
    </w:p>
    <w:p w14:paraId="2013E93F"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involvement in forums, advisory councils and consultative reference groups</w:t>
      </w:r>
    </w:p>
    <w:p w14:paraId="36E7EAA2"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Involvement in school and work unit management meetings - e.g. budgeting, staffing, capability development planning, participation in collaborative reviews, Teaching and Learning audits</w:t>
      </w:r>
    </w:p>
    <w:p w14:paraId="7A210D08"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involvement in curriculum and policy development activities</w:t>
      </w:r>
    </w:p>
    <w:p w14:paraId="60FDF759"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writing of work programs - e.g. Queensland Curriculum and Assessment Authority (QCAA)</w:t>
      </w:r>
    </w:p>
    <w:p w14:paraId="0A06EC86"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coaching others and being coached by another leader</w:t>
      </w:r>
    </w:p>
    <w:p w14:paraId="46AC8654" w14:textId="77777777" w:rsidR="00F1446B" w:rsidRPr="00F1446B" w:rsidRDefault="00F1446B" w:rsidP="004C6506">
      <w:pPr>
        <w:keepLines/>
        <w:numPr>
          <w:ilvl w:val="1"/>
          <w:numId w:val="3"/>
        </w:numPr>
        <w:spacing w:before="120" w:after="0" w:line="240" w:lineRule="exact"/>
        <w:ind w:left="-426" w:hanging="425"/>
        <w:rPr>
          <w:rFonts w:eastAsia="Times" w:cs="Times New Roman"/>
          <w:sz w:val="20"/>
          <w:szCs w:val="20"/>
          <w:lang w:eastAsia="en-AU"/>
        </w:rPr>
      </w:pPr>
      <w:r w:rsidRPr="00F1446B">
        <w:rPr>
          <w:rFonts w:eastAsia="Times" w:cs="Times New Roman"/>
          <w:sz w:val="20"/>
          <w:szCs w:val="20"/>
          <w:lang w:eastAsia="en-AU"/>
        </w:rPr>
        <w:t>mentoring others or being mentored by another leader</w:t>
      </w:r>
    </w:p>
    <w:p w14:paraId="63AA2073" w14:textId="77777777" w:rsidR="00F1446B" w:rsidRDefault="00F1446B" w:rsidP="00F1446B">
      <w:pPr>
        <w:spacing w:after="0"/>
        <w:rPr>
          <w:rFonts w:eastAsia="Times" w:cs="Times New Roman"/>
          <w:sz w:val="20"/>
          <w:szCs w:val="20"/>
          <w:lang w:eastAsia="en-AU"/>
        </w:rPr>
      </w:pPr>
    </w:p>
    <w:p w14:paraId="10ABD71D" w14:textId="77777777" w:rsidR="004C6506" w:rsidRDefault="004C6506">
      <w:pPr>
        <w:spacing w:after="0"/>
        <w:rPr>
          <w:rFonts w:eastAsia="Times" w:cs="Times New Roman"/>
          <w:sz w:val="20"/>
          <w:szCs w:val="20"/>
          <w:lang w:eastAsia="en-AU"/>
        </w:rPr>
      </w:pPr>
      <w:r>
        <w:rPr>
          <w:rFonts w:eastAsia="Times" w:cs="Times New Roman"/>
          <w:sz w:val="20"/>
          <w:szCs w:val="20"/>
          <w:lang w:eastAsia="en-AU"/>
        </w:rPr>
        <w:br w:type="page"/>
      </w:r>
    </w:p>
    <w:p w14:paraId="2B682643" w14:textId="77777777" w:rsidR="00F1446B" w:rsidRPr="00F1446B" w:rsidRDefault="00F1446B" w:rsidP="004C6506">
      <w:pPr>
        <w:spacing w:before="120"/>
        <w:ind w:left="-992"/>
        <w:rPr>
          <w:rFonts w:eastAsia="Times" w:cs="Times New Roman"/>
          <w:b/>
          <w:sz w:val="24"/>
          <w:szCs w:val="20"/>
          <w:lang w:eastAsia="en-AU"/>
        </w:rPr>
      </w:pPr>
      <w:r w:rsidRPr="00F1446B">
        <w:rPr>
          <w:rFonts w:eastAsia="Times" w:cs="Times New Roman"/>
          <w:b/>
          <w:sz w:val="24"/>
          <w:szCs w:val="20"/>
          <w:lang w:eastAsia="en-AU"/>
        </w:rPr>
        <w:lastRenderedPageBreak/>
        <w:t>Registered teachers</w:t>
      </w:r>
    </w:p>
    <w:p w14:paraId="5590B10E" w14:textId="139012D4" w:rsidR="00F1446B" w:rsidRPr="00F1446B" w:rsidRDefault="00F1446B" w:rsidP="00F1446B">
      <w:pPr>
        <w:spacing w:after="0" w:line="-240" w:lineRule="auto"/>
        <w:ind w:left="-993"/>
        <w:rPr>
          <w:rFonts w:eastAsia="Times" w:cs="Times New Roman"/>
          <w:sz w:val="20"/>
          <w:szCs w:val="20"/>
          <w:lang w:eastAsia="en-AU"/>
        </w:rPr>
      </w:pPr>
      <w:r w:rsidRPr="00F1446B">
        <w:rPr>
          <w:rFonts w:eastAsia="Times" w:cs="Times New Roman"/>
          <w:sz w:val="20"/>
          <w:szCs w:val="20"/>
          <w:lang w:eastAsia="en-AU"/>
        </w:rPr>
        <w:t xml:space="preserve">The following list of professional development activities for registered teachers is based on the </w:t>
      </w:r>
      <w:hyperlink r:id="rId12" w:history="1">
        <w:r w:rsidRPr="00F1446B">
          <w:rPr>
            <w:rFonts w:eastAsia="Times" w:cs="Times New Roman"/>
            <w:color w:val="0000FF"/>
            <w:sz w:val="20"/>
            <w:szCs w:val="20"/>
            <w:u w:val="single"/>
            <w:lang w:eastAsia="en-AU"/>
          </w:rPr>
          <w:t>Queensland College of Teachers Continuing Professional Development (QCT CPD) Framework</w:t>
        </w:r>
      </w:hyperlink>
      <w:r w:rsidRPr="00F1446B">
        <w:rPr>
          <w:rFonts w:eastAsia="Times" w:cs="Times New Roman"/>
          <w:sz w:val="20"/>
          <w:szCs w:val="20"/>
          <w:lang w:eastAsia="en-AU"/>
        </w:rPr>
        <w:t>.</w:t>
      </w:r>
    </w:p>
    <w:p w14:paraId="2AE54253" w14:textId="77777777" w:rsidR="00F1446B" w:rsidRPr="00F1446B" w:rsidRDefault="00F1446B" w:rsidP="00F1446B">
      <w:pPr>
        <w:spacing w:after="0"/>
        <w:rPr>
          <w:rFonts w:eastAsia="Times" w:cs="Times New Roman"/>
          <w:sz w:val="20"/>
          <w:szCs w:val="20"/>
          <w:lang w:eastAsia="en-AU"/>
        </w:rPr>
      </w:pPr>
    </w:p>
    <w:p w14:paraId="382E34A2" w14:textId="77777777" w:rsidR="00F1446B" w:rsidRPr="00F1446B" w:rsidRDefault="00F1446B" w:rsidP="00F1446B">
      <w:pPr>
        <w:autoSpaceDE w:val="0"/>
        <w:autoSpaceDN w:val="0"/>
        <w:adjustRightInd w:val="0"/>
        <w:spacing w:after="0" w:line="-240" w:lineRule="auto"/>
        <w:ind w:left="-993"/>
        <w:rPr>
          <w:rFonts w:eastAsia="Times" w:cs="Times New Roman"/>
          <w:sz w:val="20"/>
          <w:szCs w:val="20"/>
          <w:lang w:eastAsia="en-AU"/>
        </w:rPr>
      </w:pPr>
      <w:r w:rsidRPr="00F1446B">
        <w:rPr>
          <w:rFonts w:eastAsia="Times" w:cs="Times New Roman"/>
          <w:sz w:val="20"/>
          <w:szCs w:val="20"/>
          <w:lang w:eastAsia="en-AU"/>
        </w:rPr>
        <w:t>QCT CPD for Registered Teachers includes:</w:t>
      </w:r>
    </w:p>
    <w:p w14:paraId="5FA5F375"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active contribution to education system initiatives, pilots, trials and projects </w:t>
      </w:r>
    </w:p>
    <w:p w14:paraId="7C79A9B7"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courses, workshops (including school-based), conferences, vacation schools or online courses relevant to teaching context </w:t>
      </w:r>
    </w:p>
    <w:p w14:paraId="6270C5FE"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syllabus, curriculum and assessment professional development conducted by QCAA or employer </w:t>
      </w:r>
    </w:p>
    <w:p w14:paraId="1B688C80"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training for and development from participation in national and state test marking, QCAA and school-based teacher consistency of judgment procedures </w:t>
      </w:r>
    </w:p>
    <w:p w14:paraId="14E2BB35"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formal presentations to colleagues on classroom practices, research findings or contemporary issues in education </w:t>
      </w:r>
    </w:p>
    <w:p w14:paraId="59349647"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leading school-based curriculum and/or policy development </w:t>
      </w:r>
    </w:p>
    <w:p w14:paraId="5175FA35"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preparation for and development through providing collegial professional support for pre-service or beginning teachers as part of supervising/mentoring role </w:t>
      </w:r>
    </w:p>
    <w:p w14:paraId="360CA9FB"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educational research/action research projects </w:t>
      </w:r>
    </w:p>
    <w:p w14:paraId="1EE1DD26" w14:textId="77777777" w:rsidR="00F1446B" w:rsidRPr="00F1446B" w:rsidRDefault="00F1446B" w:rsidP="004C6506">
      <w:pPr>
        <w:numPr>
          <w:ilvl w:val="0"/>
          <w:numId w:val="4"/>
        </w:numPr>
        <w:tabs>
          <w:tab w:val="clear" w:pos="1440"/>
        </w:tabs>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active involvement in approved overseas teacher exchange, encompassing pre-preparation, on-site professional development and subsequent reporting </w:t>
      </w:r>
    </w:p>
    <w:p w14:paraId="59EDC1E9" w14:textId="77777777" w:rsidR="00F1446B" w:rsidRPr="00F1446B" w:rsidRDefault="00F1446B" w:rsidP="004C6506">
      <w:pPr>
        <w:numPr>
          <w:ilvl w:val="0"/>
          <w:numId w:val="4"/>
        </w:numPr>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professional reading linked to activities such as research, preparation of articles, presentations to colleagues and professional practice </w:t>
      </w:r>
    </w:p>
    <w:p w14:paraId="1134EFF3" w14:textId="77777777" w:rsidR="00F1446B" w:rsidRPr="00F1446B" w:rsidRDefault="00F1446B" w:rsidP="004C6506">
      <w:pPr>
        <w:numPr>
          <w:ilvl w:val="0"/>
          <w:numId w:val="4"/>
        </w:numPr>
        <w:autoSpaceDE w:val="0"/>
        <w:autoSpaceDN w:val="0"/>
        <w:adjustRightInd w:val="0"/>
        <w:spacing w:before="120" w:after="0" w:line="240" w:lineRule="exact"/>
        <w:ind w:left="-425" w:hanging="539"/>
        <w:rPr>
          <w:rFonts w:eastAsia="Times" w:cs="Times New Roman"/>
          <w:sz w:val="20"/>
          <w:szCs w:val="20"/>
          <w:lang w:eastAsia="en-AU"/>
        </w:rPr>
      </w:pPr>
      <w:r w:rsidRPr="00F1446B">
        <w:rPr>
          <w:rFonts w:eastAsia="Times" w:cs="Times New Roman"/>
          <w:sz w:val="20"/>
          <w:szCs w:val="20"/>
          <w:lang w:eastAsia="en-AU"/>
        </w:rPr>
        <w:t xml:space="preserve">formal study leading to a higher qualification in education or field related to teaching area </w:t>
      </w:r>
    </w:p>
    <w:p w14:paraId="36E5EAC2" w14:textId="77777777" w:rsidR="00F1446B" w:rsidRDefault="00F1446B" w:rsidP="00F1446B">
      <w:pPr>
        <w:tabs>
          <w:tab w:val="left" w:pos="357"/>
        </w:tabs>
        <w:spacing w:after="0"/>
        <w:rPr>
          <w:rFonts w:eastAsia="Times" w:cs="Times New Roman"/>
          <w:sz w:val="20"/>
          <w:szCs w:val="20"/>
          <w:lang w:eastAsia="en-AU"/>
        </w:rPr>
      </w:pPr>
    </w:p>
    <w:p w14:paraId="2D6BF822" w14:textId="77777777" w:rsidR="004C6506" w:rsidRPr="00F1446B" w:rsidRDefault="004C6506" w:rsidP="00F1446B">
      <w:pPr>
        <w:tabs>
          <w:tab w:val="left" w:pos="357"/>
        </w:tabs>
        <w:spacing w:after="0"/>
        <w:rPr>
          <w:rFonts w:eastAsia="Times" w:cs="Times New Roman"/>
          <w:sz w:val="20"/>
          <w:szCs w:val="20"/>
          <w:lang w:eastAsia="en-AU"/>
        </w:rPr>
      </w:pPr>
    </w:p>
    <w:p w14:paraId="221AFA28" w14:textId="77777777" w:rsidR="00F1446B" w:rsidRPr="00F1446B" w:rsidRDefault="00F1446B" w:rsidP="004C6506">
      <w:pPr>
        <w:tabs>
          <w:tab w:val="left" w:pos="357"/>
        </w:tabs>
        <w:spacing w:before="120"/>
        <w:ind w:left="-992"/>
        <w:rPr>
          <w:rFonts w:eastAsia="Times" w:cs="Times New Roman"/>
          <w:b/>
          <w:sz w:val="24"/>
          <w:szCs w:val="20"/>
          <w:lang w:eastAsia="en-AU"/>
        </w:rPr>
      </w:pPr>
      <w:r w:rsidRPr="00F1446B">
        <w:rPr>
          <w:rFonts w:eastAsia="Times" w:cs="Times New Roman"/>
          <w:b/>
          <w:sz w:val="24"/>
          <w:szCs w:val="20"/>
          <w:lang w:eastAsia="en-AU"/>
        </w:rPr>
        <w:t>Effective development opportunities for all employees</w:t>
      </w:r>
    </w:p>
    <w:p w14:paraId="7FFBA725" w14:textId="77777777" w:rsidR="00F1446B" w:rsidRPr="00F1446B" w:rsidRDefault="00F1446B" w:rsidP="00F1446B">
      <w:pPr>
        <w:spacing w:after="0" w:line="-240" w:lineRule="auto"/>
        <w:ind w:left="-993"/>
        <w:rPr>
          <w:rFonts w:eastAsia="Times" w:cs="Times New Roman"/>
          <w:sz w:val="20"/>
          <w:szCs w:val="20"/>
          <w:lang w:eastAsia="en-AU"/>
        </w:rPr>
      </w:pPr>
      <w:r w:rsidRPr="00F1446B">
        <w:rPr>
          <w:rFonts w:eastAsia="Times" w:cs="Times New Roman"/>
          <w:sz w:val="20"/>
          <w:szCs w:val="20"/>
          <w:lang w:eastAsia="en-AU"/>
        </w:rPr>
        <w:t xml:space="preserve">The list of activities below is indicative of the wide range of development options available for all employees that can often be undertaken on-the-job. </w:t>
      </w:r>
    </w:p>
    <w:p w14:paraId="744835BE" w14:textId="77777777" w:rsidR="00F1446B" w:rsidRPr="00F1446B" w:rsidRDefault="00F1446B" w:rsidP="00F1446B">
      <w:pPr>
        <w:autoSpaceDE w:val="0"/>
        <w:autoSpaceDN w:val="0"/>
        <w:adjustRightInd w:val="0"/>
        <w:spacing w:after="0"/>
        <w:rPr>
          <w:rFonts w:eastAsia="Times" w:cs="Times New Roman"/>
          <w:b/>
          <w:i/>
          <w:sz w:val="20"/>
          <w:szCs w:val="20"/>
          <w:lang w:eastAsia="en-AU"/>
        </w:rPr>
      </w:pPr>
    </w:p>
    <w:p w14:paraId="1142AB3E" w14:textId="77777777" w:rsidR="00F1446B" w:rsidRPr="00AD1F74" w:rsidRDefault="00F1446B" w:rsidP="00F1446B">
      <w:pPr>
        <w:autoSpaceDE w:val="0"/>
        <w:autoSpaceDN w:val="0"/>
        <w:adjustRightInd w:val="0"/>
        <w:spacing w:after="0"/>
        <w:ind w:left="-993"/>
        <w:rPr>
          <w:rFonts w:eastAsia="Times" w:cs="Times New Roman"/>
          <w:sz w:val="20"/>
          <w:szCs w:val="20"/>
          <w:lang w:eastAsia="en-AU"/>
        </w:rPr>
      </w:pPr>
      <w:r w:rsidRPr="00AD1F74">
        <w:rPr>
          <w:rFonts w:eastAsia="Times" w:cs="Times New Roman"/>
          <w:sz w:val="20"/>
          <w:szCs w:val="20"/>
          <w:lang w:eastAsia="en-AU"/>
        </w:rPr>
        <w:t>Employees may be involved in:</w:t>
      </w:r>
    </w:p>
    <w:p w14:paraId="45B02EAF"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discussions or learning circles</w:t>
      </w:r>
    </w:p>
    <w:p w14:paraId="12FBBC27"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working with, or as, a mentor or coach</w:t>
      </w:r>
    </w:p>
    <w:p w14:paraId="5E6DF012"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working in a different role at level</w:t>
      </w:r>
    </w:p>
    <w:p w14:paraId="3A9FBC74"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challenges that stretch a person</w:t>
      </w:r>
    </w:p>
    <w:p w14:paraId="1D0D86C9"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acting in higher duties</w:t>
      </w:r>
    </w:p>
    <w:p w14:paraId="2AF87BED"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collecting, interpreting and applying feedback from stakeholders</w:t>
      </w:r>
    </w:p>
    <w:p w14:paraId="19B701B3"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observing exemplary practice</w:t>
      </w:r>
    </w:p>
    <w:p w14:paraId="1CC8F843"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work shadowing or working on a project with a mentor or supervisor</w:t>
      </w:r>
    </w:p>
    <w:p w14:paraId="64E8D9B6"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reflecting on and evaluating personal practice to improve outcomes</w:t>
      </w:r>
    </w:p>
    <w:p w14:paraId="53F4FDDF"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self-assessment using the Capability and Leadership Framework</w:t>
      </w:r>
    </w:p>
    <w:p w14:paraId="78BC3D48"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active participation in individual and team development planning</w:t>
      </w:r>
    </w:p>
    <w:p w14:paraId="6887FB39"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conducting research/action learning projects/collaborative enquiries</w:t>
      </w:r>
    </w:p>
    <w:p w14:paraId="43BDB484"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reading departmental, government and professional publications</w:t>
      </w:r>
    </w:p>
    <w:p w14:paraId="5FC2FAA0"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writing business documents, e.g. briefs, letters, project/lesson plans, accounts, reports</w:t>
      </w:r>
    </w:p>
    <w:p w14:paraId="5615C1B0"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participating in recruitment and selection activities including panel interviews</w:t>
      </w:r>
    </w:p>
    <w:p w14:paraId="1BB4568E"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collaborative planning, implementation and evaluation</w:t>
      </w:r>
    </w:p>
    <w:p w14:paraId="7069425A"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problem solving</w:t>
      </w:r>
    </w:p>
    <w:p w14:paraId="11235C73"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participating in on-the-job debriefs</w:t>
      </w:r>
    </w:p>
    <w:p w14:paraId="149E7508"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developing resources</w:t>
      </w:r>
    </w:p>
    <w:p w14:paraId="1DFC71CD"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peer observation and review, e.g. as a critical friend</w:t>
      </w:r>
    </w:p>
    <w:p w14:paraId="78A67A4B"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sharing best practice with groups of colleagues</w:t>
      </w:r>
    </w:p>
    <w:p w14:paraId="25AE91A0"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working in inter-agency/inter-facility teams or on committees</w:t>
      </w:r>
    </w:p>
    <w:p w14:paraId="35155CB3"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active membership of a professional association, working group, community of practice or network</w:t>
      </w:r>
    </w:p>
    <w:p w14:paraId="0F921400"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active involvement in relevant public activities</w:t>
      </w:r>
    </w:p>
    <w:p w14:paraId="7215F6B9" w14:textId="77777777" w:rsidR="00F1446B" w:rsidRPr="00F1446B" w:rsidRDefault="00F1446B" w:rsidP="00F1446B">
      <w:pPr>
        <w:keepLines/>
        <w:spacing w:after="0"/>
        <w:rPr>
          <w:rFonts w:eastAsia="Times" w:cs="Times New Roman"/>
          <w:sz w:val="20"/>
          <w:szCs w:val="20"/>
          <w:lang w:eastAsia="en-AU"/>
        </w:rPr>
      </w:pPr>
    </w:p>
    <w:p w14:paraId="4FA71649" w14:textId="77777777" w:rsidR="00AD1F74" w:rsidRDefault="00AD1F74" w:rsidP="00F1446B">
      <w:pPr>
        <w:keepLines/>
        <w:spacing w:after="0"/>
        <w:ind w:left="-993"/>
        <w:rPr>
          <w:rFonts w:eastAsia="Times" w:cs="Times New Roman"/>
          <w:b/>
          <w:sz w:val="20"/>
          <w:szCs w:val="20"/>
          <w:lang w:eastAsia="en-AU"/>
        </w:rPr>
      </w:pPr>
    </w:p>
    <w:p w14:paraId="580ECAC1" w14:textId="77777777" w:rsidR="00F1446B" w:rsidRPr="00AD1F74" w:rsidRDefault="00F1446B" w:rsidP="00F1446B">
      <w:pPr>
        <w:keepLines/>
        <w:spacing w:after="0"/>
        <w:ind w:left="-993"/>
        <w:rPr>
          <w:rFonts w:eastAsia="Times" w:cs="Times New Roman"/>
          <w:sz w:val="20"/>
          <w:szCs w:val="20"/>
          <w:lang w:eastAsia="en-AU"/>
        </w:rPr>
      </w:pPr>
      <w:r w:rsidRPr="00AD1F74">
        <w:rPr>
          <w:rFonts w:eastAsia="Times" w:cs="Times New Roman"/>
          <w:sz w:val="20"/>
          <w:szCs w:val="20"/>
          <w:lang w:eastAsia="en-AU"/>
        </w:rPr>
        <w:t>Additional forms of employee professional development may include:</w:t>
      </w:r>
    </w:p>
    <w:p w14:paraId="4A853EF4"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enrolment in formal learning programs</w:t>
      </w:r>
    </w:p>
    <w:p w14:paraId="74CD059B"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online learning</w:t>
      </w:r>
    </w:p>
    <w:p w14:paraId="785D0BE2"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reading</w:t>
      </w:r>
    </w:p>
    <w:p w14:paraId="249DD19E"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participation in workshops as a participant or as a leader</w:t>
      </w:r>
    </w:p>
    <w:p w14:paraId="557F5F42"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involvement in committees and reference groups</w:t>
      </w:r>
    </w:p>
    <w:p w14:paraId="12763E0C" w14:textId="77777777" w:rsidR="00F1446B" w:rsidRPr="00F1446B" w:rsidRDefault="00F1446B" w:rsidP="004C6506">
      <w:pPr>
        <w:keepLines/>
        <w:numPr>
          <w:ilvl w:val="1"/>
          <w:numId w:val="3"/>
        </w:numPr>
        <w:tabs>
          <w:tab w:val="clear" w:pos="1080"/>
        </w:tabs>
        <w:spacing w:before="120" w:after="0" w:line="240" w:lineRule="exact"/>
        <w:ind w:left="-425" w:hanging="567"/>
        <w:rPr>
          <w:rFonts w:eastAsia="Times" w:cs="Times New Roman"/>
          <w:sz w:val="20"/>
          <w:szCs w:val="20"/>
          <w:lang w:eastAsia="en-AU"/>
        </w:rPr>
      </w:pPr>
      <w:r w:rsidRPr="00F1446B">
        <w:rPr>
          <w:rFonts w:eastAsia="Times" w:cs="Times New Roman"/>
          <w:sz w:val="20"/>
          <w:szCs w:val="20"/>
          <w:lang w:eastAsia="en-AU"/>
        </w:rPr>
        <w:t>identifying improvements to work practices, implementing and evaluating them</w:t>
      </w:r>
    </w:p>
    <w:p w14:paraId="5D370862" w14:textId="77777777" w:rsidR="00F1446B" w:rsidRPr="00F1446B" w:rsidRDefault="00F1446B" w:rsidP="00F1446B">
      <w:pPr>
        <w:spacing w:after="0"/>
        <w:rPr>
          <w:rFonts w:eastAsia="Times" w:cs="Times New Roman"/>
          <w:sz w:val="24"/>
          <w:szCs w:val="20"/>
          <w:lang w:eastAsia="en-AU"/>
        </w:rPr>
      </w:pPr>
    </w:p>
    <w:p w14:paraId="23497005" w14:textId="77777777" w:rsidR="00F1446B" w:rsidRPr="00F1446B" w:rsidRDefault="00F1446B" w:rsidP="00F1446B">
      <w:pPr>
        <w:keepNext/>
        <w:spacing w:after="160" w:line="360" w:lineRule="exact"/>
        <w:outlineLvl w:val="1"/>
        <w:rPr>
          <w:rFonts w:eastAsia="Times" w:cs="Times New Roman"/>
          <w:sz w:val="40"/>
          <w:szCs w:val="20"/>
          <w:lang w:eastAsia="en-AU"/>
        </w:rPr>
      </w:pPr>
    </w:p>
    <w:p w14:paraId="535B302E" w14:textId="77777777" w:rsidR="00323704" w:rsidRDefault="00A13F0D" w:rsidP="00F1446B"/>
    <w:p w14:paraId="6C542FAC" w14:textId="77777777" w:rsidR="003B6D6F" w:rsidRDefault="003B6D6F" w:rsidP="00F1446B"/>
    <w:sectPr w:rsidR="003B6D6F" w:rsidSect="00F1446B">
      <w:headerReference w:type="default" r:id="rId13"/>
      <w:footerReference w:type="default" r:id="rId14"/>
      <w:pgSz w:w="11900" w:h="16840"/>
      <w:pgMar w:top="1418" w:right="985"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C3A3" w14:textId="77777777" w:rsidR="003B6D6F" w:rsidRDefault="003B6D6F" w:rsidP="00190C24">
      <w:r>
        <w:separator/>
      </w:r>
    </w:p>
  </w:endnote>
  <w:endnote w:type="continuationSeparator" w:id="0">
    <w:p w14:paraId="2EBC7BC0" w14:textId="77777777" w:rsidR="003B6D6F" w:rsidRDefault="003B6D6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D8EC" w14:textId="77777777" w:rsidR="00E34022" w:rsidRDefault="00E34022" w:rsidP="00E34022">
    <w:pPr>
      <w:autoSpaceDE w:val="0"/>
      <w:autoSpaceDN w:val="0"/>
      <w:adjustRightInd w:val="0"/>
      <w:spacing w:after="0" w:line="-240" w:lineRule="auto"/>
      <w:ind w:left="-426"/>
      <w:rPr>
        <w:rFonts w:eastAsia="Times" w:cs="Times New Roman"/>
        <w:sz w:val="20"/>
        <w:szCs w:val="20"/>
        <w:lang w:eastAsia="en-AU"/>
      </w:rPr>
    </w:pPr>
  </w:p>
  <w:p w14:paraId="500A8A7C" w14:textId="5BDB5ACF" w:rsidR="00E34022" w:rsidRPr="00EE586D" w:rsidRDefault="00E34022" w:rsidP="00E34022">
    <w:pPr>
      <w:autoSpaceDE w:val="0"/>
      <w:autoSpaceDN w:val="0"/>
      <w:adjustRightInd w:val="0"/>
      <w:spacing w:after="0" w:line="-240" w:lineRule="auto"/>
      <w:ind w:left="-993"/>
      <w:rPr>
        <w:rFonts w:eastAsia="Times" w:cs="Times New Roman"/>
        <w:sz w:val="16"/>
        <w:szCs w:val="20"/>
        <w:lang w:eastAsia="en-AU"/>
      </w:rPr>
    </w:pPr>
    <w:r w:rsidRPr="00EE586D">
      <w:rPr>
        <w:rFonts w:eastAsia="Times" w:cs="Times New Roman"/>
        <w:b/>
        <w:sz w:val="16"/>
        <w:szCs w:val="20"/>
        <w:lang w:eastAsia="en-AU"/>
      </w:rPr>
      <w:t>Uncontrolled copy</w:t>
    </w:r>
    <w:r w:rsidRPr="00EE586D">
      <w:rPr>
        <w:rFonts w:eastAsia="Times" w:cs="Times New Roman"/>
        <w:sz w:val="16"/>
        <w:szCs w:val="20"/>
        <w:lang w:eastAsia="en-AU"/>
      </w:rPr>
      <w:t xml:space="preserve">. Refer to the Department of Education Policy and Procedure Register at </w:t>
    </w:r>
    <w:hyperlink r:id="rId1" w:history="1">
      <w:r w:rsidR="002E39A0">
        <w:rPr>
          <w:rStyle w:val="Hyperlink"/>
          <w:rFonts w:eastAsia="Times" w:cs="Times New Roman"/>
          <w:sz w:val="16"/>
          <w:szCs w:val="20"/>
          <w:lang w:eastAsia="en-AU"/>
        </w:rPr>
        <w:t>https://ppr.qed.qld.gov.au/procedure-employee-professional-development-including-study-and-research-assistance-scheme-saras</w:t>
      </w:r>
    </w:hyperlink>
    <w:r w:rsidR="00EE586D">
      <w:rPr>
        <w:rFonts w:eastAsia="Times" w:cs="Times New Roman"/>
        <w:sz w:val="16"/>
        <w:szCs w:val="20"/>
        <w:lang w:eastAsia="en-AU"/>
      </w:rPr>
      <w:t xml:space="preserve"> </w:t>
    </w:r>
    <w:r w:rsidRPr="00EE586D">
      <w:rPr>
        <w:rFonts w:eastAsia="Times" w:cs="Times New Roman"/>
        <w:sz w:val="16"/>
        <w:szCs w:val="20"/>
        <w:lang w:eastAsia="en-AU"/>
      </w:rPr>
      <w:t>to ensure you have the most current version of this document.</w:t>
    </w:r>
  </w:p>
  <w:p w14:paraId="3F6F8C17" w14:textId="77777777" w:rsidR="00E34022" w:rsidRDefault="00E34022" w:rsidP="00E34022">
    <w:pPr>
      <w:autoSpaceDE w:val="0"/>
      <w:autoSpaceDN w:val="0"/>
      <w:adjustRightInd w:val="0"/>
      <w:spacing w:after="0" w:line="-240" w:lineRule="auto"/>
      <w:ind w:left="-993"/>
      <w:rPr>
        <w:rFonts w:eastAsia="Times" w:cs="Times New Roman"/>
        <w:sz w:val="20"/>
        <w:szCs w:val="20"/>
        <w:lang w:eastAsia="en-AU"/>
      </w:rPr>
    </w:pPr>
  </w:p>
  <w:p w14:paraId="355E2E6A" w14:textId="77777777" w:rsidR="00E34022" w:rsidRDefault="00E34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9F7CB" w14:textId="77777777" w:rsidR="003B6D6F" w:rsidRDefault="003B6D6F" w:rsidP="00190C24">
      <w:r>
        <w:separator/>
      </w:r>
    </w:p>
  </w:footnote>
  <w:footnote w:type="continuationSeparator" w:id="0">
    <w:p w14:paraId="0FD55480" w14:textId="77777777" w:rsidR="003B6D6F" w:rsidRDefault="003B6D6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20A3" w14:textId="77777777" w:rsidR="00D01CD2" w:rsidRDefault="002F78A2" w:rsidP="00190C24">
    <w:pPr>
      <w:pStyle w:val="Header"/>
    </w:pPr>
    <w:r>
      <w:rPr>
        <w:noProof/>
        <w:lang w:eastAsia="zh-CN"/>
      </w:rPr>
      <w:drawing>
        <wp:anchor distT="0" distB="0" distL="114300" distR="114300" simplePos="0" relativeHeight="251658240" behindDoc="1" locked="1" layoutInCell="1" allowOverlap="1" wp14:anchorId="7B5F1567" wp14:editId="09C51139">
          <wp:simplePos x="0" y="0"/>
          <wp:positionH relativeFrom="page">
            <wp:align>left</wp:align>
          </wp:positionH>
          <wp:positionV relativeFrom="page">
            <wp:align>top</wp:align>
          </wp:positionV>
          <wp:extent cx="7559675" cy="10691495"/>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6E894C56"/>
    <w:multiLevelType w:val="hybridMultilevel"/>
    <w:tmpl w:val="8898C8D2"/>
    <w:lvl w:ilvl="0" w:tplc="A200861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27D6CA1"/>
    <w:multiLevelType w:val="multilevel"/>
    <w:tmpl w:val="904E771E"/>
    <w:lvl w:ilvl="0">
      <w:start w:val="1"/>
      <w:numFmt w:val="decimal"/>
      <w:lvlText w:val="%1."/>
      <w:lvlJc w:val="left"/>
      <w:pPr>
        <w:tabs>
          <w:tab w:val="num" w:pos="813"/>
        </w:tabs>
        <w:ind w:left="813" w:hanging="453"/>
      </w:pPr>
    </w:lvl>
    <w:lvl w:ilvl="1">
      <w:start w:val="1"/>
      <w:numFmt w:val="bullet"/>
      <w:lvlText w:val=""/>
      <w:lvlJc w:val="left"/>
      <w:pPr>
        <w:tabs>
          <w:tab w:val="num" w:pos="1080"/>
        </w:tabs>
        <w:ind w:left="1080" w:hanging="360"/>
      </w:pPr>
      <w:rPr>
        <w:rFonts w:ascii="Wingdings" w:hAnsi="Wingding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num w:numId="1">
    <w:abstractNumId w:val="0"/>
  </w:num>
  <w:num w:numId="2">
    <w:abstractNumId w:val="1"/>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6F"/>
    <w:rsid w:val="000436FC"/>
    <w:rsid w:val="000B61AC"/>
    <w:rsid w:val="000F7FDE"/>
    <w:rsid w:val="00190C24"/>
    <w:rsid w:val="002371F7"/>
    <w:rsid w:val="002E39A0"/>
    <w:rsid w:val="002F78A2"/>
    <w:rsid w:val="0033463E"/>
    <w:rsid w:val="00385A56"/>
    <w:rsid w:val="003B6D6F"/>
    <w:rsid w:val="00404BCA"/>
    <w:rsid w:val="004C6506"/>
    <w:rsid w:val="004C7D82"/>
    <w:rsid w:val="005F4331"/>
    <w:rsid w:val="006239A5"/>
    <w:rsid w:val="00636B71"/>
    <w:rsid w:val="006C3D8E"/>
    <w:rsid w:val="006D09A5"/>
    <w:rsid w:val="007F0286"/>
    <w:rsid w:val="008755DF"/>
    <w:rsid w:val="00907963"/>
    <w:rsid w:val="0096078C"/>
    <w:rsid w:val="0096595E"/>
    <w:rsid w:val="009E5EE5"/>
    <w:rsid w:val="00A13F0D"/>
    <w:rsid w:val="00A46D0F"/>
    <w:rsid w:val="00A47F67"/>
    <w:rsid w:val="00A65710"/>
    <w:rsid w:val="00AB0A25"/>
    <w:rsid w:val="00AC555D"/>
    <w:rsid w:val="00AD1F74"/>
    <w:rsid w:val="00B33337"/>
    <w:rsid w:val="00B8699D"/>
    <w:rsid w:val="00B9771E"/>
    <w:rsid w:val="00CB07AD"/>
    <w:rsid w:val="00CD793C"/>
    <w:rsid w:val="00D01CD2"/>
    <w:rsid w:val="00D75050"/>
    <w:rsid w:val="00D842DF"/>
    <w:rsid w:val="00DC5E03"/>
    <w:rsid w:val="00DE6B4E"/>
    <w:rsid w:val="00E34022"/>
    <w:rsid w:val="00EE586D"/>
    <w:rsid w:val="00EF474F"/>
    <w:rsid w:val="00EF4AC5"/>
    <w:rsid w:val="00F07988"/>
    <w:rsid w:val="00F1446B"/>
    <w:rsid w:val="00F305FC"/>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AB2BB5"/>
  <w15:docId w15:val="{2DF38B4E-8710-45BC-84FD-0FFE3ADE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2371F7"/>
    <w:pPr>
      <w:spacing w:after="120"/>
    </w:pPr>
    <w:rPr>
      <w:rFonts w:ascii="Arial" w:hAnsi="Arial"/>
      <w:sz w:val="22"/>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styleId="CommentReference">
    <w:name w:val="annotation reference"/>
    <w:rsid w:val="00F1446B"/>
    <w:rPr>
      <w:sz w:val="16"/>
      <w:szCs w:val="16"/>
    </w:rPr>
  </w:style>
  <w:style w:type="paragraph" w:styleId="CommentText">
    <w:name w:val="annotation text"/>
    <w:basedOn w:val="Normal"/>
    <w:link w:val="CommentTextChar"/>
    <w:rsid w:val="00F1446B"/>
    <w:pPr>
      <w:spacing w:after="0"/>
    </w:pPr>
    <w:rPr>
      <w:rFonts w:eastAsia="Times" w:cs="Times New Roman"/>
      <w:sz w:val="20"/>
      <w:szCs w:val="20"/>
      <w:lang w:eastAsia="en-AU"/>
    </w:rPr>
  </w:style>
  <w:style w:type="character" w:customStyle="1" w:styleId="CommentTextChar">
    <w:name w:val="Comment Text Char"/>
    <w:basedOn w:val="DefaultParagraphFont"/>
    <w:link w:val="CommentText"/>
    <w:rsid w:val="00F1446B"/>
    <w:rPr>
      <w:rFonts w:ascii="Arial" w:eastAsia="Times" w:hAnsi="Arial" w:cs="Times New Roman"/>
      <w:sz w:val="20"/>
      <w:szCs w:val="20"/>
      <w:lang w:eastAsia="en-AU"/>
    </w:rPr>
  </w:style>
  <w:style w:type="paragraph" w:styleId="BalloonText">
    <w:name w:val="Balloon Text"/>
    <w:basedOn w:val="Normal"/>
    <w:link w:val="BalloonTextChar"/>
    <w:uiPriority w:val="99"/>
    <w:semiHidden/>
    <w:unhideWhenUsed/>
    <w:rsid w:val="00F144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46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6B4E"/>
    <w:pPr>
      <w:spacing w:after="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E6B4E"/>
    <w:rPr>
      <w:rFonts w:ascii="Arial" w:eastAsia="Times" w:hAnsi="Arial" w:cs="Times New Roman"/>
      <w:b/>
      <w:bCs/>
      <w:sz w:val="20"/>
      <w:szCs w:val="20"/>
      <w:lang w:eastAsia="en-AU"/>
    </w:rPr>
  </w:style>
  <w:style w:type="character" w:styleId="Hyperlink">
    <w:name w:val="Hyperlink"/>
    <w:basedOn w:val="DefaultParagraphFont"/>
    <w:uiPriority w:val="99"/>
    <w:unhideWhenUsed/>
    <w:rsid w:val="00EE5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ct.edu.au/professional-development/continuing-professional-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rocedure-employee-professional-development-including-study-and-research-assistance-scheme-sa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HPRMRecordNumber xmlns="http://schemas.microsoft.com/sharepoint/v3">20/711974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2023-02-23T05:58:22+00:00</PPSubmittedDate>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Scope of Development Options</PPRDescription>
    <PPRVersionEffectiveDate xmlns="http://schemas.microsoft.com/sharepoint/v3" xsi:nil="true"/>
    <PPLastReviewedBy xmlns="16795be8-4374-4e44-895d-be6cdbab3e2c">
      <UserInfo>
        <DisplayName>KOEHLER, Michelle</DisplayName>
        <AccountId>3512</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People and Corporate Services</PPRDivision>
    <PPLastReviewedDate xmlns="16795be8-4374-4e44-895d-be6cdbab3e2c">2023-02-23T06:02:13+00:00</PPLastReviewedDate>
    <PPContentAuthor xmlns="16795be8-4374-4e44-895d-be6cdbab3e2c">
      <UserInfo>
        <DisplayName/>
        <AccountId xsi:nil="true"/>
        <AccountType/>
      </UserInfo>
    </PPContentAuthor>
    <PPModeratedDate xmlns="16795be8-4374-4e44-895d-be6cdbab3e2c">2023-02-23T06:02:12+00:00</PPModeratedDate>
    <PPRBusinessUnit xmlns="http://schemas.microsoft.com/sharepoint/v3">Learning and Professional Development</PPRBusinessUnit>
    <PPRIsUpdatesPage xmlns="http://schemas.microsoft.com/sharepoint/v3">false</PPRIsUpdatesPage>
    <PPRContentType xmlns="http://schemas.microsoft.com/sharepoint/v3">Supporting information</PPRContentType>
    <PPRHPRMUpdateDate xmlns="http://schemas.microsoft.com/sharepoint/v3">2021-02-07T23:19:13+00:00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Mairi Thomson, Director</PPRContentAuthor>
    <PPRDecommissionedDate xmlns="http://schemas.microsoft.com/sharepoint/v3" xsi:nil="true"/>
    <PPRPrimarySubCategory xmlns="16795be8-4374-4e44-895d-be6cdbab3e2c">12</PPRPrimarySubCategory>
    <PPRContentOwner xmlns="http://schemas.microsoft.com/sharepoint/v3">DDG, People and Corporate Services</PPRContentOwner>
    <PPRNominatedApprovers xmlns="http://schemas.microsoft.com/sharepoint/v3">See HR schedule -</PPRNominatedApprovers>
    <PPContentApprover xmlns="16795be8-4374-4e44-895d-be6cdbab3e2c">
      <UserInfo>
        <DisplayName/>
        <AccountId xsi:nil="true"/>
        <AccountType/>
      </UserInfo>
    </PPContentApprover>
    <PPModeratedBy xmlns="16795be8-4374-4e44-895d-be6cdbab3e2c">
      <UserInfo>
        <DisplayName>KOEHLER, Michelle</DisplayName>
        <AccountId>3512</AccountId>
        <AccountType/>
      </UserInfo>
    </PPModeratedBy>
    <PPRHPRMRevisionNumber xmlns="http://schemas.microsoft.com/sharepoint/v3">3</PPRHPRMRevisionNumber>
    <PPRKeywords xmlns="http://schemas.microsoft.com/sharepoint/v3">development options; training; SARAS; study assistance; research assistance; performance development; financial assistance;</PPRKeywords>
    <PPRPublishedDate xmlns="http://schemas.microsoft.com/sharepoint/v3" xsi:nil="true"/>
    <PPRStatus xmlns="http://schemas.microsoft.com/sharepoint/v3" xsi:nil="true"/>
    <PPRRisknumber xmlns="http://schemas.microsoft.com/sharepoint/v3" xsi:nil="true"/>
    <PPRAttachmentParent xmlns="http://schemas.microsoft.com/sharepoint/v3">20/711385</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F3240-2074-466F-B6EE-D53F258074E4}"/>
</file>

<file path=customXml/itemProps2.xml><?xml version="1.0" encoding="utf-8"?>
<ds:datastoreItem xmlns:ds="http://schemas.openxmlformats.org/officeDocument/2006/customXml" ds:itemID="{DB779C9B-3363-46FB-B84C-243E1EF6FEB2}"/>
</file>

<file path=customXml/itemProps3.xml><?xml version="1.0" encoding="utf-8"?>
<ds:datastoreItem xmlns:ds="http://schemas.openxmlformats.org/officeDocument/2006/customXml" ds:itemID="{3DE6AC84-30AB-4052-B933-957E7B177475}"/>
</file>

<file path=customXml/itemProps4.xml><?xml version="1.0" encoding="utf-8"?>
<ds:datastoreItem xmlns:ds="http://schemas.openxmlformats.org/officeDocument/2006/customXml" ds:itemID="{3A2F6853-B6BA-4099-8666-827476D38FE7}"/>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Development Options</dc:title>
  <dc:creator>BLOOMFIELD, Carol</dc:creator>
  <cp:keywords>DoE corporate; A4; portrait; template</cp:keywords>
  <cp:lastModifiedBy>GOUDIE, Cameron</cp:lastModifiedBy>
  <cp:revision>2</cp:revision>
  <cp:lastPrinted>2017-12-18T03:35:00Z</cp:lastPrinted>
  <dcterms:created xsi:type="dcterms:W3CDTF">2021-02-07T23:19:00Z</dcterms:created>
  <dcterms:modified xsi:type="dcterms:W3CDTF">2021-02-07T23:19:00Z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63800</vt:r8>
  </property>
</Properties>
</file>