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5F4A" w14:textId="77777777" w:rsidR="00601176" w:rsidRPr="00CA3A64" w:rsidRDefault="00731B3F" w:rsidP="001474F1">
      <w:pPr>
        <w:spacing w:before="120" w:after="100"/>
        <w:rPr>
          <w:rFonts w:ascii="Arial" w:hAnsi="Arial"/>
          <w:sz w:val="32"/>
        </w:rPr>
      </w:pPr>
      <w:r w:rsidRPr="00CA3A64">
        <w:rPr>
          <w:rFonts w:ascii="Arial" w:hAnsi="Arial"/>
          <w:sz w:val="32"/>
        </w:rPr>
        <w:t>Steps associated with d</w:t>
      </w:r>
      <w:r w:rsidR="00601176" w:rsidRPr="00CA3A64">
        <w:rPr>
          <w:rFonts w:ascii="Arial" w:hAnsi="Arial"/>
          <w:sz w:val="32"/>
        </w:rPr>
        <w:t>ual enrolment between a state special school and</w:t>
      </w:r>
      <w:r w:rsidR="00601176" w:rsidRPr="00731B3F">
        <w:rPr>
          <w:rFonts w:ascii="Arial" w:hAnsi="Arial" w:cs="Arial"/>
          <w:sz w:val="32"/>
          <w:szCs w:val="32"/>
        </w:rPr>
        <w:t xml:space="preserve"> a</w:t>
      </w:r>
      <w:r w:rsidR="00601176" w:rsidRPr="00CA3A64">
        <w:rPr>
          <w:rFonts w:ascii="Arial" w:hAnsi="Arial"/>
          <w:sz w:val="32"/>
        </w:rPr>
        <w:t xml:space="preserve"> non-state school</w:t>
      </w:r>
    </w:p>
    <w:p w14:paraId="0548627E" w14:textId="77777777" w:rsidR="001474F1" w:rsidRDefault="001474F1" w:rsidP="001474F1">
      <w:pPr>
        <w:spacing w:before="240" w:after="10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steps for dual enrolment between a state special school and a non-state school are outlined below.</w:t>
      </w:r>
    </w:p>
    <w:p w14:paraId="44F72FA0" w14:textId="77777777" w:rsidR="00601176" w:rsidRPr="005A5CFA" w:rsidRDefault="00601176" w:rsidP="001474F1">
      <w:pPr>
        <w:numPr>
          <w:ilvl w:val="0"/>
          <w:numId w:val="1"/>
        </w:numPr>
        <w:spacing w:before="240" w:after="100" w:line="240" w:lineRule="auto"/>
        <w:ind w:left="426" w:hanging="357"/>
        <w:rPr>
          <w:rFonts w:ascii="Arial" w:eastAsia="Times New Roman" w:hAnsi="Arial" w:cs="Arial"/>
        </w:rPr>
      </w:pPr>
      <w:r w:rsidRPr="005A5CFA">
        <w:rPr>
          <w:rFonts w:ascii="Arial" w:eastAsia="Times New Roman" w:hAnsi="Arial" w:cs="Arial"/>
        </w:rPr>
        <w:t xml:space="preserve">Student </w:t>
      </w:r>
      <w:r w:rsidR="001474F1">
        <w:rPr>
          <w:rFonts w:ascii="Arial" w:eastAsia="Times New Roman" w:hAnsi="Arial" w:cs="Arial"/>
        </w:rPr>
        <w:t xml:space="preserve">is </w:t>
      </w:r>
      <w:r w:rsidRPr="005A5CFA">
        <w:rPr>
          <w:rFonts w:ascii="Arial" w:eastAsia="Times New Roman" w:hAnsi="Arial" w:cs="Arial"/>
        </w:rPr>
        <w:t>enrolled in non-state school</w:t>
      </w:r>
      <w:r>
        <w:rPr>
          <w:rFonts w:ascii="Arial" w:eastAsia="Times New Roman" w:hAnsi="Arial" w:cs="Arial"/>
        </w:rPr>
        <w:t>.</w:t>
      </w:r>
    </w:p>
    <w:p w14:paraId="59EADB46" w14:textId="77777777" w:rsidR="00601176" w:rsidRDefault="00601176" w:rsidP="001474F1">
      <w:pPr>
        <w:numPr>
          <w:ilvl w:val="0"/>
          <w:numId w:val="1"/>
        </w:numPr>
        <w:spacing w:before="240" w:after="100" w:line="240" w:lineRule="auto"/>
        <w:ind w:left="426" w:hanging="357"/>
        <w:rPr>
          <w:rFonts w:ascii="Arial" w:eastAsia="Times New Roman" w:hAnsi="Arial" w:cs="Arial"/>
        </w:rPr>
      </w:pPr>
      <w:r w:rsidRPr="005A5CFA">
        <w:rPr>
          <w:rFonts w:ascii="Arial" w:eastAsia="Times New Roman" w:hAnsi="Arial" w:cs="Arial"/>
        </w:rPr>
        <w:t xml:space="preserve">Parent </w:t>
      </w:r>
      <w:r>
        <w:rPr>
          <w:rFonts w:ascii="Arial" w:eastAsia="Times New Roman" w:hAnsi="Arial" w:cs="Arial"/>
        </w:rPr>
        <w:t>discusses with non-state school that they are seeking</w:t>
      </w:r>
      <w:r w:rsidRPr="005A5CFA">
        <w:rPr>
          <w:rFonts w:ascii="Arial" w:eastAsia="Times New Roman" w:hAnsi="Arial" w:cs="Arial"/>
        </w:rPr>
        <w:t xml:space="preserve"> a dual enrolment arrangement with a state</w:t>
      </w:r>
      <w:r>
        <w:rPr>
          <w:rFonts w:ascii="Arial" w:eastAsia="Times New Roman" w:hAnsi="Arial" w:cs="Arial"/>
        </w:rPr>
        <w:t xml:space="preserve"> special</w:t>
      </w:r>
      <w:r w:rsidRPr="005A5CFA">
        <w:rPr>
          <w:rFonts w:ascii="Arial" w:eastAsia="Times New Roman" w:hAnsi="Arial" w:cs="Arial"/>
        </w:rPr>
        <w:t xml:space="preserve"> school</w:t>
      </w:r>
      <w:r>
        <w:rPr>
          <w:rFonts w:ascii="Arial" w:eastAsia="Times New Roman" w:hAnsi="Arial" w:cs="Arial"/>
        </w:rPr>
        <w:t>.</w:t>
      </w:r>
      <w:r w:rsidRPr="005A5CFA">
        <w:rPr>
          <w:rFonts w:ascii="Arial" w:eastAsia="Times New Roman" w:hAnsi="Arial" w:cs="Arial"/>
        </w:rPr>
        <w:t xml:space="preserve"> </w:t>
      </w:r>
    </w:p>
    <w:p w14:paraId="21EAF794" w14:textId="25F94C0A" w:rsidR="00601176" w:rsidRPr="005A5CFA" w:rsidRDefault="00601176" w:rsidP="001474F1">
      <w:pPr>
        <w:numPr>
          <w:ilvl w:val="0"/>
          <w:numId w:val="1"/>
        </w:numPr>
        <w:spacing w:before="240" w:after="100" w:line="240" w:lineRule="auto"/>
        <w:ind w:left="426" w:hanging="357"/>
        <w:rPr>
          <w:rFonts w:ascii="Arial" w:eastAsia="Times New Roman" w:hAnsi="Arial" w:cs="Arial"/>
        </w:rPr>
      </w:pPr>
      <w:r w:rsidRPr="005A5CFA">
        <w:rPr>
          <w:rFonts w:ascii="Arial" w:eastAsia="Times New Roman" w:hAnsi="Arial" w:cs="Arial"/>
        </w:rPr>
        <w:t>Non-state school staff and parent complete Part A of</w:t>
      </w:r>
      <w:r w:rsidRPr="00997939">
        <w:rPr>
          <w:rFonts w:ascii="Arial" w:eastAsia="Times New Roman" w:hAnsi="Arial" w:cs="Arial"/>
          <w:i/>
        </w:rPr>
        <w:t xml:space="preserve"> </w:t>
      </w:r>
      <w:r w:rsidRPr="00356D60">
        <w:rPr>
          <w:rFonts w:ascii="Arial" w:eastAsia="Times New Roman" w:hAnsi="Arial" w:cs="Arial"/>
          <w:i/>
        </w:rPr>
        <w:t xml:space="preserve">Dual </w:t>
      </w:r>
      <w:r>
        <w:rPr>
          <w:rFonts w:ascii="Arial" w:eastAsia="Times New Roman" w:hAnsi="Arial" w:cs="Arial"/>
          <w:i/>
        </w:rPr>
        <w:t>e</w:t>
      </w:r>
      <w:r w:rsidRPr="00356D60">
        <w:rPr>
          <w:rFonts w:ascii="Arial" w:eastAsia="Times New Roman" w:hAnsi="Arial" w:cs="Arial"/>
          <w:i/>
        </w:rPr>
        <w:t xml:space="preserve">nrolment of </w:t>
      </w:r>
      <w:r>
        <w:rPr>
          <w:rFonts w:ascii="Arial" w:eastAsia="Times New Roman" w:hAnsi="Arial" w:cs="Arial"/>
          <w:i/>
        </w:rPr>
        <w:t>s</w:t>
      </w:r>
      <w:r w:rsidRPr="00356D60">
        <w:rPr>
          <w:rFonts w:ascii="Arial" w:eastAsia="Times New Roman" w:hAnsi="Arial" w:cs="Arial"/>
          <w:i/>
        </w:rPr>
        <w:t xml:space="preserve">tudents </w:t>
      </w:r>
      <w:r>
        <w:rPr>
          <w:rFonts w:ascii="Arial" w:eastAsia="Times New Roman" w:hAnsi="Arial" w:cs="Arial"/>
          <w:i/>
        </w:rPr>
        <w:t>w</w:t>
      </w:r>
      <w:r w:rsidRPr="00356D60">
        <w:rPr>
          <w:rFonts w:ascii="Arial" w:eastAsia="Times New Roman" w:hAnsi="Arial" w:cs="Arial"/>
          <w:i/>
        </w:rPr>
        <w:t xml:space="preserve">ith </w:t>
      </w:r>
      <w:r>
        <w:rPr>
          <w:rFonts w:ascii="Arial" w:eastAsia="Times New Roman" w:hAnsi="Arial" w:cs="Arial"/>
          <w:i/>
        </w:rPr>
        <w:t>d</w:t>
      </w:r>
      <w:r w:rsidRPr="00356D60">
        <w:rPr>
          <w:rFonts w:ascii="Arial" w:eastAsia="Times New Roman" w:hAnsi="Arial" w:cs="Arial"/>
          <w:i/>
        </w:rPr>
        <w:t xml:space="preserve">isability </w:t>
      </w:r>
      <w:r w:rsidR="00731B3F">
        <w:rPr>
          <w:rFonts w:ascii="Arial" w:eastAsia="Times New Roman" w:hAnsi="Arial" w:cs="Arial"/>
          <w:i/>
        </w:rPr>
        <w:t xml:space="preserve">in </w:t>
      </w:r>
      <w:r w:rsidR="00FF35F1">
        <w:rPr>
          <w:rFonts w:ascii="Arial" w:eastAsia="Times New Roman" w:hAnsi="Arial" w:cs="Arial"/>
          <w:i/>
        </w:rPr>
        <w:t xml:space="preserve">state </w:t>
      </w:r>
      <w:r w:rsidR="00731B3F">
        <w:rPr>
          <w:rFonts w:ascii="Arial" w:eastAsia="Times New Roman" w:hAnsi="Arial" w:cs="Arial"/>
          <w:i/>
        </w:rPr>
        <w:t xml:space="preserve">and </w:t>
      </w:r>
      <w:r w:rsidR="00FF35F1">
        <w:rPr>
          <w:rFonts w:ascii="Arial" w:eastAsia="Times New Roman" w:hAnsi="Arial" w:cs="Arial"/>
          <w:i/>
        </w:rPr>
        <w:t>non-state school</w:t>
      </w:r>
      <w:r w:rsidR="00731B3F">
        <w:rPr>
          <w:rFonts w:ascii="Arial" w:eastAsia="Times New Roman" w:hAnsi="Arial" w:cs="Arial"/>
          <w:i/>
        </w:rPr>
        <w:t>s</w:t>
      </w:r>
      <w:r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>(</w:t>
      </w:r>
      <w:hyperlink r:id="rId10" w:history="1">
        <w:r w:rsidRPr="00D1387D">
          <w:rPr>
            <w:rStyle w:val="Hyperlink"/>
            <w:rFonts w:ascii="Arial" w:eastAsia="Times New Roman" w:hAnsi="Arial" w:cs="Arial"/>
          </w:rPr>
          <w:t>Dual enrolment form</w:t>
        </w:r>
      </w:hyperlink>
      <w:r>
        <w:rPr>
          <w:rFonts w:ascii="Arial" w:eastAsia="Times New Roman" w:hAnsi="Arial" w:cs="Arial"/>
        </w:rPr>
        <w:t>)</w:t>
      </w:r>
    </w:p>
    <w:p w14:paraId="4E28B8DD" w14:textId="77777777" w:rsidR="00601176" w:rsidRPr="00B661A9" w:rsidRDefault="00601176" w:rsidP="001474F1">
      <w:pPr>
        <w:numPr>
          <w:ilvl w:val="0"/>
          <w:numId w:val="1"/>
        </w:numPr>
        <w:spacing w:before="240" w:after="100" w:line="240" w:lineRule="auto"/>
        <w:ind w:left="426" w:hanging="357"/>
        <w:rPr>
          <w:rFonts w:ascii="Arial" w:eastAsia="Times New Roman" w:hAnsi="Arial" w:cs="Arial"/>
        </w:rPr>
      </w:pPr>
      <w:r w:rsidRPr="00B661A9">
        <w:rPr>
          <w:rFonts w:ascii="Arial" w:eastAsia="Times New Roman" w:hAnsi="Arial" w:cs="Arial"/>
        </w:rPr>
        <w:t xml:space="preserve">Non-state school staff and parent approach the identified </w:t>
      </w:r>
      <w:r>
        <w:rPr>
          <w:rFonts w:ascii="Arial" w:eastAsia="Times New Roman" w:hAnsi="Arial" w:cs="Arial"/>
        </w:rPr>
        <w:t>s</w:t>
      </w:r>
      <w:r w:rsidRPr="00B661A9">
        <w:rPr>
          <w:rFonts w:ascii="Arial" w:eastAsia="Times New Roman" w:hAnsi="Arial" w:cs="Arial"/>
        </w:rPr>
        <w:t xml:space="preserve">tate </w:t>
      </w:r>
      <w:r w:rsidR="00FF35F1">
        <w:rPr>
          <w:rFonts w:ascii="Arial" w:eastAsia="Times New Roman" w:hAnsi="Arial" w:cs="Arial"/>
        </w:rPr>
        <w:t xml:space="preserve">special </w:t>
      </w:r>
      <w:r>
        <w:rPr>
          <w:rFonts w:ascii="Arial" w:eastAsia="Times New Roman" w:hAnsi="Arial" w:cs="Arial"/>
        </w:rPr>
        <w:t>s</w:t>
      </w:r>
      <w:r w:rsidRPr="00B661A9">
        <w:rPr>
          <w:rFonts w:ascii="Arial" w:eastAsia="Times New Roman" w:hAnsi="Arial" w:cs="Arial"/>
        </w:rPr>
        <w:t xml:space="preserve">chool and/or </w:t>
      </w:r>
      <w:r>
        <w:rPr>
          <w:rFonts w:ascii="Arial" w:eastAsia="Times New Roman" w:hAnsi="Arial" w:cs="Arial"/>
        </w:rPr>
        <w:t>r</w:t>
      </w:r>
      <w:r w:rsidRPr="00B661A9">
        <w:rPr>
          <w:rFonts w:ascii="Arial" w:eastAsia="Times New Roman" w:hAnsi="Arial" w:cs="Arial"/>
        </w:rPr>
        <w:t xml:space="preserve">egional </w:t>
      </w:r>
      <w:r>
        <w:rPr>
          <w:rFonts w:ascii="Arial" w:eastAsia="Times New Roman" w:hAnsi="Arial" w:cs="Arial"/>
        </w:rPr>
        <w:t>o</w:t>
      </w:r>
      <w:r w:rsidRPr="00B661A9">
        <w:rPr>
          <w:rFonts w:ascii="Arial" w:eastAsia="Times New Roman" w:hAnsi="Arial" w:cs="Arial"/>
        </w:rPr>
        <w:t>ffice to discuss the outcomes the dual enrolment is intended to achieve</w:t>
      </w:r>
      <w:r>
        <w:rPr>
          <w:rFonts w:ascii="Arial" w:eastAsia="Times New Roman" w:hAnsi="Arial" w:cs="Arial"/>
        </w:rPr>
        <w:t>,</w:t>
      </w:r>
      <w:r w:rsidRPr="00B661A9">
        <w:rPr>
          <w:rFonts w:ascii="Arial" w:eastAsia="Times New Roman" w:hAnsi="Arial" w:cs="Arial"/>
        </w:rPr>
        <w:t xml:space="preserve"> and suitability of each of the schools to achieve </w:t>
      </w:r>
      <w:r>
        <w:rPr>
          <w:rFonts w:ascii="Arial" w:eastAsia="Times New Roman" w:hAnsi="Arial" w:cs="Arial"/>
        </w:rPr>
        <w:t xml:space="preserve">these under </w:t>
      </w:r>
      <w:r w:rsidRPr="00B661A9">
        <w:rPr>
          <w:rFonts w:ascii="Arial" w:eastAsia="Times New Roman" w:hAnsi="Arial" w:cs="Arial"/>
        </w:rPr>
        <w:t>this</w:t>
      </w:r>
      <w:r>
        <w:rPr>
          <w:rFonts w:ascii="Arial" w:eastAsia="Times New Roman" w:hAnsi="Arial" w:cs="Arial"/>
        </w:rPr>
        <w:t xml:space="preserve"> arrangement</w:t>
      </w:r>
      <w:r w:rsidRPr="00B661A9">
        <w:rPr>
          <w:rFonts w:ascii="Arial" w:eastAsia="Times New Roman" w:hAnsi="Arial" w:cs="Arial"/>
        </w:rPr>
        <w:t xml:space="preserve">. Part B of the Dual </w:t>
      </w:r>
      <w:r>
        <w:rPr>
          <w:rFonts w:ascii="Arial" w:eastAsia="Times New Roman" w:hAnsi="Arial" w:cs="Arial"/>
        </w:rPr>
        <w:t>e</w:t>
      </w:r>
      <w:r w:rsidRPr="00B661A9">
        <w:rPr>
          <w:rFonts w:ascii="Arial" w:eastAsia="Times New Roman" w:hAnsi="Arial" w:cs="Arial"/>
        </w:rPr>
        <w:t xml:space="preserve">nrolment </w:t>
      </w:r>
      <w:r>
        <w:rPr>
          <w:rFonts w:ascii="Arial" w:eastAsia="Times New Roman" w:hAnsi="Arial" w:cs="Arial"/>
        </w:rPr>
        <w:t>f</w:t>
      </w:r>
      <w:r w:rsidRPr="00B661A9">
        <w:rPr>
          <w:rFonts w:ascii="Arial" w:eastAsia="Times New Roman" w:hAnsi="Arial" w:cs="Arial"/>
        </w:rPr>
        <w:t>orm is completed in consultation with non-state</w:t>
      </w:r>
      <w:r w:rsidR="00FF35F1">
        <w:rPr>
          <w:rFonts w:ascii="Arial" w:eastAsia="Times New Roman" w:hAnsi="Arial" w:cs="Arial"/>
        </w:rPr>
        <w:t xml:space="preserve"> school</w:t>
      </w:r>
      <w:r w:rsidRPr="00B661A9">
        <w:rPr>
          <w:rFonts w:ascii="Arial" w:eastAsia="Times New Roman" w:hAnsi="Arial" w:cs="Arial"/>
        </w:rPr>
        <w:t xml:space="preserve"> and state</w:t>
      </w:r>
      <w:r w:rsidR="00FF35F1">
        <w:rPr>
          <w:rFonts w:ascii="Arial" w:eastAsia="Times New Roman" w:hAnsi="Arial" w:cs="Arial"/>
        </w:rPr>
        <w:t xml:space="preserve"> special</w:t>
      </w:r>
      <w:r w:rsidRPr="00B661A9">
        <w:rPr>
          <w:rFonts w:ascii="Arial" w:eastAsia="Times New Roman" w:hAnsi="Arial" w:cs="Arial"/>
        </w:rPr>
        <w:t xml:space="preserve"> school staff to reflect these discussions.</w:t>
      </w:r>
    </w:p>
    <w:p w14:paraId="0B48D6CC" w14:textId="77777777" w:rsidR="00601176" w:rsidRPr="005A5CFA" w:rsidRDefault="00601176" w:rsidP="001474F1">
      <w:pPr>
        <w:numPr>
          <w:ilvl w:val="0"/>
          <w:numId w:val="1"/>
        </w:numPr>
        <w:spacing w:before="240" w:after="100" w:line="240" w:lineRule="auto"/>
        <w:ind w:left="426" w:hanging="357"/>
        <w:rPr>
          <w:rFonts w:ascii="Arial" w:eastAsia="Times New Roman" w:hAnsi="Arial" w:cs="Arial"/>
        </w:rPr>
      </w:pPr>
      <w:r w:rsidRPr="005A5CFA">
        <w:rPr>
          <w:rFonts w:ascii="Arial" w:eastAsia="Times New Roman" w:hAnsi="Arial" w:cs="Arial"/>
        </w:rPr>
        <w:t xml:space="preserve">If </w:t>
      </w:r>
      <w:r>
        <w:rPr>
          <w:rFonts w:ascii="Arial" w:eastAsia="Times New Roman" w:hAnsi="Arial" w:cs="Arial"/>
        </w:rPr>
        <w:t xml:space="preserve">the dual enrolment is </w:t>
      </w:r>
      <w:r w:rsidR="006D2DA2">
        <w:rPr>
          <w:rFonts w:ascii="Arial" w:eastAsia="Times New Roman" w:hAnsi="Arial" w:cs="Arial"/>
        </w:rPr>
        <w:t>considered</w:t>
      </w:r>
      <w:r>
        <w:rPr>
          <w:rFonts w:ascii="Arial" w:eastAsia="Times New Roman" w:hAnsi="Arial" w:cs="Arial"/>
        </w:rPr>
        <w:t xml:space="preserve"> by all parties </w:t>
      </w:r>
      <w:r w:rsidR="006D2DA2">
        <w:rPr>
          <w:rFonts w:ascii="Arial" w:eastAsia="Times New Roman" w:hAnsi="Arial" w:cs="Arial"/>
        </w:rPr>
        <w:t xml:space="preserve">to be </w:t>
      </w:r>
      <w:r>
        <w:rPr>
          <w:rFonts w:ascii="Arial" w:eastAsia="Times New Roman" w:hAnsi="Arial" w:cs="Arial"/>
        </w:rPr>
        <w:t>in the best educational interests of the child:</w:t>
      </w:r>
      <w:r w:rsidRPr="005A5CFA">
        <w:rPr>
          <w:rFonts w:ascii="Arial" w:eastAsia="Times New Roman" w:hAnsi="Arial" w:cs="Arial"/>
        </w:rPr>
        <w:t xml:space="preserve"> </w:t>
      </w:r>
    </w:p>
    <w:p w14:paraId="046501CA" w14:textId="77777777" w:rsidR="00601176" w:rsidRPr="005060C3" w:rsidRDefault="00601176" w:rsidP="001474F1">
      <w:pPr>
        <w:numPr>
          <w:ilvl w:val="1"/>
          <w:numId w:val="1"/>
        </w:numPr>
        <w:spacing w:before="240" w:after="100" w:line="240" w:lineRule="auto"/>
        <w:ind w:hanging="357"/>
        <w:rPr>
          <w:rFonts w:ascii="Arial" w:eastAsia="Times New Roman" w:hAnsi="Arial" w:cs="Arial"/>
          <w:i/>
        </w:rPr>
      </w:pPr>
      <w:proofErr w:type="gramStart"/>
      <w:r w:rsidRPr="005A5CFA">
        <w:rPr>
          <w:rFonts w:ascii="Arial" w:eastAsia="Times New Roman" w:hAnsi="Arial" w:cs="Arial"/>
        </w:rPr>
        <w:t>the</w:t>
      </w:r>
      <w:proofErr w:type="gramEnd"/>
      <w:r w:rsidRPr="005A5CFA">
        <w:rPr>
          <w:rFonts w:ascii="Arial" w:eastAsia="Times New Roman" w:hAnsi="Arial" w:cs="Arial"/>
        </w:rPr>
        <w:t xml:space="preserve"> parent </w:t>
      </w:r>
      <w:r>
        <w:rPr>
          <w:rFonts w:ascii="Arial" w:eastAsia="Times New Roman" w:hAnsi="Arial" w:cs="Arial"/>
        </w:rPr>
        <w:t xml:space="preserve">seeks enrolment in a state special school as outlined in the </w:t>
      </w:r>
      <w:hyperlink r:id="rId11" w:history="1">
        <w:r w:rsidR="004269E0">
          <w:rPr>
            <w:rStyle w:val="Hyperlink"/>
            <w:rFonts w:ascii="Arial" w:eastAsia="Times New Roman" w:hAnsi="Arial" w:cs="Arial"/>
          </w:rPr>
          <w:t>State special school enrolment flowchart</w:t>
        </w:r>
      </w:hyperlink>
      <w:r w:rsidR="00AA1D2F" w:rsidRPr="004269E0">
        <w:rPr>
          <w:rStyle w:val="Hyperlink"/>
          <w:rFonts w:ascii="Arial" w:eastAsia="Times New Roman" w:hAnsi="Arial" w:cs="Arial"/>
          <w:color w:val="auto"/>
          <w:u w:val="none"/>
        </w:rPr>
        <w:t>.</w:t>
      </w:r>
      <w:r>
        <w:rPr>
          <w:rFonts w:ascii="Arial" w:eastAsia="Times New Roman" w:hAnsi="Arial" w:cs="Arial"/>
        </w:rPr>
        <w:t xml:space="preserve"> </w:t>
      </w:r>
      <w:r w:rsidR="005060C3" w:rsidRPr="001474F1">
        <w:rPr>
          <w:rFonts w:ascii="Arial" w:eastAsia="Times New Roman" w:hAnsi="Arial" w:cs="Arial"/>
          <w:i/>
        </w:rPr>
        <w:t xml:space="preserve">To be eligible for enrolment in a state special school, all criteria outlined in the </w:t>
      </w:r>
      <w:hyperlink r:id="rId12" w:history="1">
        <w:r w:rsidR="005060C3" w:rsidRPr="001474F1">
          <w:rPr>
            <w:rStyle w:val="Hyperlink"/>
            <w:rFonts w:ascii="Arial" w:eastAsia="Times New Roman" w:hAnsi="Arial" w:cs="Arial"/>
            <w:i/>
          </w:rPr>
          <w:t>Special school eligibility (“person with a disability” criteria) policy</w:t>
        </w:r>
      </w:hyperlink>
      <w:r w:rsidR="005060C3" w:rsidRPr="001474F1">
        <w:rPr>
          <w:rFonts w:ascii="Arial" w:eastAsia="Times New Roman" w:hAnsi="Arial" w:cs="Arial"/>
          <w:i/>
        </w:rPr>
        <w:t xml:space="preserve"> must be met, and the relevant special school must be able to cater for the educational needs of the prospective student</w:t>
      </w:r>
      <w:r w:rsidRPr="001474F1">
        <w:rPr>
          <w:rFonts w:ascii="Arial" w:eastAsia="Times New Roman" w:hAnsi="Arial" w:cs="Arial"/>
          <w:i/>
        </w:rPr>
        <w:t>.</w:t>
      </w:r>
    </w:p>
    <w:p w14:paraId="32026645" w14:textId="77777777" w:rsidR="00601176" w:rsidRDefault="00601176" w:rsidP="001474F1">
      <w:pPr>
        <w:numPr>
          <w:ilvl w:val="1"/>
          <w:numId w:val="1"/>
        </w:numPr>
        <w:spacing w:before="240" w:after="100" w:line="240" w:lineRule="auto"/>
        <w:ind w:hanging="357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on</w:t>
      </w:r>
      <w:proofErr w:type="gramEnd"/>
      <w:r>
        <w:rPr>
          <w:rFonts w:ascii="Arial" w:eastAsia="Times New Roman" w:hAnsi="Arial" w:cs="Arial"/>
        </w:rPr>
        <w:t xml:space="preserve"> receipt</w:t>
      </w:r>
      <w:r w:rsidRPr="0003223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of the </w:t>
      </w:r>
      <w:r w:rsidRPr="0003223F">
        <w:rPr>
          <w:rFonts w:ascii="Arial" w:eastAsia="Times New Roman" w:hAnsi="Arial" w:cs="Arial"/>
        </w:rPr>
        <w:t>delegated decision maker</w:t>
      </w:r>
      <w:r>
        <w:rPr>
          <w:rFonts w:ascii="Arial" w:eastAsia="Times New Roman" w:hAnsi="Arial" w:cs="Arial"/>
        </w:rPr>
        <w:t>’s decision</w:t>
      </w:r>
      <w:r w:rsidRPr="0003223F">
        <w:rPr>
          <w:rFonts w:ascii="Arial" w:eastAsia="Times New Roman" w:hAnsi="Arial" w:cs="Arial"/>
        </w:rPr>
        <w:t xml:space="preserve"> to refer the prospective student’s application for enrolment</w:t>
      </w:r>
      <w:r>
        <w:rPr>
          <w:rFonts w:ascii="Arial" w:eastAsia="Times New Roman" w:hAnsi="Arial" w:cs="Arial"/>
        </w:rPr>
        <w:t>,</w:t>
      </w:r>
      <w:r w:rsidRPr="0003223F">
        <w:rPr>
          <w:rFonts w:ascii="Arial" w:eastAsia="Times New Roman" w:hAnsi="Arial" w:cs="Arial"/>
        </w:rPr>
        <w:t xml:space="preserve"> </w:t>
      </w:r>
      <w:r w:rsidR="00FF35F1">
        <w:rPr>
          <w:rFonts w:ascii="Arial" w:eastAsia="Times New Roman" w:hAnsi="Arial" w:cs="Arial"/>
        </w:rPr>
        <w:t xml:space="preserve">the parent and the school </w:t>
      </w:r>
      <w:r>
        <w:rPr>
          <w:rFonts w:ascii="Arial" w:eastAsia="Times New Roman" w:hAnsi="Arial" w:cs="Arial"/>
        </w:rPr>
        <w:t>commence</w:t>
      </w:r>
      <w:r w:rsidRPr="0003223F">
        <w:rPr>
          <w:rFonts w:ascii="Arial" w:eastAsia="Times New Roman" w:hAnsi="Arial" w:cs="Arial"/>
        </w:rPr>
        <w:t xml:space="preserve"> the enrolment process</w:t>
      </w:r>
      <w:r>
        <w:rPr>
          <w:rFonts w:ascii="Arial" w:eastAsia="Times New Roman" w:hAnsi="Arial" w:cs="Arial"/>
        </w:rPr>
        <w:t>.</w:t>
      </w:r>
    </w:p>
    <w:p w14:paraId="211A2E46" w14:textId="55C6A181" w:rsidR="00601176" w:rsidRDefault="00601176" w:rsidP="001474F1">
      <w:pPr>
        <w:numPr>
          <w:ilvl w:val="1"/>
          <w:numId w:val="1"/>
        </w:numPr>
        <w:spacing w:before="240" w:after="100" w:line="240" w:lineRule="auto"/>
        <w:ind w:hanging="357"/>
        <w:rPr>
          <w:rFonts w:ascii="Arial" w:eastAsia="Times New Roman" w:hAnsi="Arial" w:cs="Arial"/>
        </w:rPr>
      </w:pPr>
      <w:r w:rsidRPr="005A5CFA">
        <w:rPr>
          <w:rFonts w:ascii="Arial" w:eastAsia="Times New Roman" w:hAnsi="Arial" w:cs="Arial"/>
        </w:rPr>
        <w:t xml:space="preserve">Part C of the </w:t>
      </w:r>
      <w:hyperlink r:id="rId13" w:history="1">
        <w:r w:rsidR="00FF35F1" w:rsidRPr="00D1387D">
          <w:rPr>
            <w:rStyle w:val="Hyperlink"/>
            <w:rFonts w:ascii="Arial" w:eastAsia="Times New Roman" w:hAnsi="Arial" w:cs="Arial"/>
          </w:rPr>
          <w:t>Dual enrolment form</w:t>
        </w:r>
      </w:hyperlink>
      <w:r w:rsidR="00FF35F1" w:rsidRPr="00CA3A64">
        <w:rPr>
          <w:rStyle w:val="Hyperlink"/>
          <w:rFonts w:ascii="Arial" w:hAnsi="Arial"/>
        </w:rPr>
        <w:t xml:space="preserve"> </w:t>
      </w:r>
      <w:r w:rsidRPr="005A5CFA">
        <w:rPr>
          <w:rFonts w:ascii="Arial" w:eastAsia="Times New Roman" w:hAnsi="Arial" w:cs="Arial"/>
        </w:rPr>
        <w:t>is completed by the non-state school staff, state school staff and parents as indicated on the form.</w:t>
      </w:r>
    </w:p>
    <w:p w14:paraId="046DF8AB" w14:textId="77777777" w:rsidR="00601176" w:rsidRPr="005A5CFA" w:rsidRDefault="00601176" w:rsidP="00601176">
      <w:pPr>
        <w:spacing w:after="100" w:line="240" w:lineRule="auto"/>
        <w:ind w:left="1080"/>
        <w:rPr>
          <w:rFonts w:ascii="Arial" w:eastAsia="Times New Roman" w:hAnsi="Arial" w:cs="Arial"/>
        </w:rPr>
      </w:pPr>
    </w:p>
    <w:p w14:paraId="09E9654E" w14:textId="77777777" w:rsidR="00601176" w:rsidRPr="00F657CA" w:rsidRDefault="00601176" w:rsidP="00601176">
      <w:pPr>
        <w:rPr>
          <w:rFonts w:ascii="Arial" w:hAnsi="Arial" w:cs="Arial"/>
          <w:b/>
        </w:rPr>
      </w:pPr>
      <w:r w:rsidRPr="00F657CA">
        <w:rPr>
          <w:rFonts w:ascii="Arial" w:hAnsi="Arial" w:cs="Arial"/>
          <w:b/>
        </w:rPr>
        <w:t xml:space="preserve">It is important to note that all schools are required to make reasonable adjustments </w:t>
      </w:r>
      <w:proofErr w:type="gramStart"/>
      <w:r w:rsidRPr="00F657CA">
        <w:rPr>
          <w:rFonts w:ascii="Arial" w:hAnsi="Arial" w:cs="Arial"/>
          <w:b/>
        </w:rPr>
        <w:t>for</w:t>
      </w:r>
      <w:proofErr w:type="gramEnd"/>
      <w:r w:rsidRPr="00F657CA">
        <w:rPr>
          <w:rFonts w:ascii="Arial" w:hAnsi="Arial" w:cs="Arial"/>
          <w:b/>
        </w:rPr>
        <w:t xml:space="preserve"> students with disability</w:t>
      </w:r>
      <w:r w:rsidR="00731B3F">
        <w:rPr>
          <w:rFonts w:ascii="Arial" w:hAnsi="Arial" w:cs="Arial"/>
          <w:b/>
        </w:rPr>
        <w:t>. T</w:t>
      </w:r>
      <w:r w:rsidRPr="00F657CA">
        <w:rPr>
          <w:rFonts w:ascii="Arial" w:hAnsi="Arial" w:cs="Arial"/>
          <w:b/>
        </w:rPr>
        <w:t xml:space="preserve">here must be specific benefits identified and agreed to by all parties </w:t>
      </w:r>
      <w:r w:rsidR="00731B3F">
        <w:rPr>
          <w:rFonts w:ascii="Arial" w:hAnsi="Arial" w:cs="Arial"/>
          <w:b/>
        </w:rPr>
        <w:t xml:space="preserve">for </w:t>
      </w:r>
      <w:r w:rsidRPr="00F657CA">
        <w:rPr>
          <w:rFonts w:ascii="Arial" w:hAnsi="Arial" w:cs="Arial"/>
          <w:b/>
        </w:rPr>
        <w:t>why the student’s education program is best delivered between two schools.</w:t>
      </w:r>
    </w:p>
    <w:p w14:paraId="59E0291E" w14:textId="77777777" w:rsidR="00601176" w:rsidRPr="00CA3A64" w:rsidRDefault="00601176">
      <w:bookmarkStart w:id="0" w:name="_GoBack"/>
      <w:bookmarkEnd w:id="0"/>
    </w:p>
    <w:sectPr w:rsidR="00601176" w:rsidRPr="00CA3A64" w:rsidSect="00650C94">
      <w:headerReference w:type="default" r:id="rId14"/>
      <w:footerReference w:type="default" r:id="rId15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9E73" w14:textId="77777777" w:rsidR="0022709A" w:rsidRDefault="0022709A" w:rsidP="00601176">
      <w:pPr>
        <w:spacing w:after="0" w:line="240" w:lineRule="auto"/>
      </w:pPr>
      <w:r>
        <w:separator/>
      </w:r>
    </w:p>
  </w:endnote>
  <w:endnote w:type="continuationSeparator" w:id="0">
    <w:p w14:paraId="78287CCF" w14:textId="77777777" w:rsidR="0022709A" w:rsidRDefault="0022709A" w:rsidP="00601176">
      <w:pPr>
        <w:spacing w:after="0" w:line="240" w:lineRule="auto"/>
      </w:pPr>
      <w:r>
        <w:continuationSeparator/>
      </w:r>
    </w:p>
  </w:endnote>
  <w:endnote w:type="continuationNotice" w:id="1">
    <w:p w14:paraId="43865EA5" w14:textId="77777777" w:rsidR="0022709A" w:rsidRDefault="00227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E981" w14:textId="7EAACE56" w:rsidR="00601176" w:rsidRPr="001474F1" w:rsidRDefault="00AC31D6">
    <w:pPr>
      <w:pStyle w:val="Footer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4639" wp14:editId="734D7C69">
          <wp:simplePos x="0" y="0"/>
          <wp:positionH relativeFrom="column">
            <wp:posOffset>4671695</wp:posOffset>
          </wp:positionH>
          <wp:positionV relativeFrom="paragraph">
            <wp:posOffset>22225</wp:posOffset>
          </wp:positionV>
          <wp:extent cx="1630045" cy="568960"/>
          <wp:effectExtent l="0" t="0" r="0" b="0"/>
          <wp:wrapTight wrapText="bothSides">
            <wp:wrapPolygon edited="0">
              <wp:start x="0" y="0"/>
              <wp:lineTo x="0" y="20973"/>
              <wp:lineTo x="21457" y="20973"/>
              <wp:lineTo x="21457" y="0"/>
              <wp:lineTo x="0" y="0"/>
            </wp:wrapPolygon>
          </wp:wrapTight>
          <wp:docPr id="2" name="Picture 5" descr="https://intranet.qed.qld.gov.au/Services/CommunicationMarketing/forms/Documents/DoE-A4-portrait-generic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ntranet.qed.qld.gov.au/Services/CommunicationMarketing/forms/Documents/DoE-A4-portrait-generic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13" t="15874" r="2193" b="20689"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E12A7" w14:textId="2520E310" w:rsidR="00601176" w:rsidRPr="00CE30A3" w:rsidRDefault="00601176" w:rsidP="00650C94">
    <w:pPr>
      <w:pStyle w:val="Footer"/>
      <w:tabs>
        <w:tab w:val="clear" w:pos="9026"/>
        <w:tab w:val="right" w:pos="7230"/>
      </w:tabs>
      <w:ind w:left="-142"/>
      <w:rPr>
        <w:rFonts w:ascii="Arial" w:hAnsi="Arial" w:cs="Arial"/>
        <w:sz w:val="18"/>
        <w:szCs w:val="18"/>
      </w:rPr>
    </w:pPr>
    <w:r w:rsidRPr="001474F1">
      <w:rPr>
        <w:rFonts w:ascii="Arial" w:hAnsi="Arial" w:cs="Arial"/>
        <w:b/>
        <w:sz w:val="18"/>
        <w:szCs w:val="18"/>
      </w:rPr>
      <w:t>Uncontrolled copy</w:t>
    </w:r>
    <w:r w:rsidRPr="001474F1">
      <w:rPr>
        <w:rFonts w:ascii="Arial" w:hAnsi="Arial" w:cs="Arial"/>
        <w:sz w:val="18"/>
        <w:szCs w:val="18"/>
      </w:rPr>
      <w:t xml:space="preserve">. Refer to the Department of Education Policy and Procedure Register at </w:t>
    </w:r>
    <w:hyperlink r:id="rId2" w:history="1">
      <w:r w:rsidR="00650C94" w:rsidRPr="00894C66">
        <w:rPr>
          <w:rStyle w:val="Hyperlink"/>
          <w:rFonts w:ascii="Arial" w:hAnsi="Arial" w:cs="Arial"/>
          <w:sz w:val="18"/>
          <w:szCs w:val="18"/>
        </w:rPr>
        <w:t>https://ppr.qed.qld.gov.au/pp/enrolment-in-state-primary-secondary-and-special-schools-procedure</w:t>
      </w:r>
    </w:hyperlink>
    <w:r w:rsidR="00650C94">
      <w:rPr>
        <w:rFonts w:ascii="Arial" w:hAnsi="Arial" w:cs="Arial"/>
        <w:sz w:val="18"/>
        <w:szCs w:val="18"/>
      </w:rPr>
      <w:t xml:space="preserve"> </w:t>
    </w:r>
    <w:r w:rsidRPr="001474F1">
      <w:rPr>
        <w:rFonts w:ascii="Arial" w:hAnsi="Arial" w:cs="Arial"/>
        <w:sz w:val="18"/>
        <w:szCs w:val="18"/>
      </w:rPr>
      <w:t>to ensure you have the most current version of this document.</w:t>
    </w:r>
    <w:r w:rsidR="00AA1D2F" w:rsidRPr="00AA1D2F">
      <w:rPr>
        <w:rFonts w:ascii="Arial" w:hAnsi="Arial" w:cs="Arial"/>
        <w:sz w:val="18"/>
        <w:szCs w:val="18"/>
      </w:rPr>
      <w:t xml:space="preserve"> </w:t>
    </w:r>
    <w:r w:rsidR="008F52B9">
      <w:rPr>
        <w:rFonts w:ascii="Arial" w:hAnsi="Arial" w:cs="Arial"/>
        <w:sz w:val="18"/>
        <w:szCs w:val="18"/>
      </w:rPr>
      <w:t xml:space="preserve"> </w:t>
    </w:r>
    <w:r w:rsidR="00650C94">
      <w:rPr>
        <w:rFonts w:ascii="Arial" w:hAnsi="Arial" w:cs="Arial"/>
        <w:sz w:val="18"/>
        <w:szCs w:val="18"/>
      </w:rPr>
      <w:tab/>
    </w:r>
    <w:r w:rsidR="00AA1D2F" w:rsidRPr="00B04CAA">
      <w:rPr>
        <w:rFonts w:ascii="Arial" w:hAnsi="Arial" w:cs="Arial"/>
        <w:sz w:val="18"/>
        <w:szCs w:val="18"/>
      </w:rPr>
      <w:t xml:space="preserve">Page </w:t>
    </w:r>
    <w:r w:rsidR="00AA1D2F" w:rsidRPr="00B04CAA">
      <w:rPr>
        <w:rFonts w:ascii="Arial" w:hAnsi="Arial" w:cs="Arial"/>
        <w:b/>
        <w:bCs/>
        <w:sz w:val="18"/>
        <w:szCs w:val="18"/>
      </w:rPr>
      <w:fldChar w:fldCharType="begin"/>
    </w:r>
    <w:r w:rsidR="00AA1D2F" w:rsidRPr="00B04CAA">
      <w:rPr>
        <w:rFonts w:ascii="Arial" w:hAnsi="Arial" w:cs="Arial"/>
        <w:b/>
        <w:bCs/>
        <w:sz w:val="18"/>
        <w:szCs w:val="18"/>
      </w:rPr>
      <w:instrText xml:space="preserve"> PAGE </w:instrText>
    </w:r>
    <w:r w:rsidR="00AA1D2F" w:rsidRPr="00B04CAA">
      <w:rPr>
        <w:rFonts w:ascii="Arial" w:hAnsi="Arial" w:cs="Arial"/>
        <w:b/>
        <w:bCs/>
        <w:sz w:val="18"/>
        <w:szCs w:val="18"/>
      </w:rPr>
      <w:fldChar w:fldCharType="separate"/>
    </w:r>
    <w:r w:rsidR="00650C94">
      <w:rPr>
        <w:rFonts w:ascii="Arial" w:hAnsi="Arial" w:cs="Arial"/>
        <w:b/>
        <w:bCs/>
        <w:noProof/>
        <w:sz w:val="18"/>
        <w:szCs w:val="18"/>
      </w:rPr>
      <w:t>1</w:t>
    </w:r>
    <w:r w:rsidR="00AA1D2F" w:rsidRPr="00B04CAA">
      <w:rPr>
        <w:rFonts w:ascii="Arial" w:hAnsi="Arial" w:cs="Arial"/>
        <w:b/>
        <w:bCs/>
        <w:sz w:val="18"/>
        <w:szCs w:val="18"/>
      </w:rPr>
      <w:fldChar w:fldCharType="end"/>
    </w:r>
    <w:r w:rsidR="00AA1D2F" w:rsidRPr="00B04CAA">
      <w:rPr>
        <w:rFonts w:ascii="Arial" w:hAnsi="Arial" w:cs="Arial"/>
        <w:sz w:val="18"/>
        <w:szCs w:val="18"/>
      </w:rPr>
      <w:t xml:space="preserve"> of </w:t>
    </w:r>
    <w:r w:rsidR="00AA1D2F" w:rsidRPr="00B04CAA">
      <w:rPr>
        <w:rFonts w:ascii="Arial" w:hAnsi="Arial" w:cs="Arial"/>
        <w:b/>
        <w:bCs/>
        <w:sz w:val="18"/>
        <w:szCs w:val="18"/>
      </w:rPr>
      <w:fldChar w:fldCharType="begin"/>
    </w:r>
    <w:r w:rsidR="00AA1D2F" w:rsidRPr="00B04CAA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AA1D2F" w:rsidRPr="00B04CAA">
      <w:rPr>
        <w:rFonts w:ascii="Arial" w:hAnsi="Arial" w:cs="Arial"/>
        <w:b/>
        <w:bCs/>
        <w:sz w:val="18"/>
        <w:szCs w:val="18"/>
      </w:rPr>
      <w:fldChar w:fldCharType="separate"/>
    </w:r>
    <w:r w:rsidR="00650C94">
      <w:rPr>
        <w:rFonts w:ascii="Arial" w:hAnsi="Arial" w:cs="Arial"/>
        <w:b/>
        <w:bCs/>
        <w:noProof/>
        <w:sz w:val="18"/>
        <w:szCs w:val="18"/>
      </w:rPr>
      <w:t>1</w:t>
    </w:r>
    <w:r w:rsidR="00AA1D2F" w:rsidRPr="00B04CAA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8C8F" w14:textId="77777777" w:rsidR="0022709A" w:rsidRDefault="0022709A" w:rsidP="00601176">
      <w:pPr>
        <w:spacing w:after="0" w:line="240" w:lineRule="auto"/>
      </w:pPr>
      <w:r>
        <w:separator/>
      </w:r>
    </w:p>
  </w:footnote>
  <w:footnote w:type="continuationSeparator" w:id="0">
    <w:p w14:paraId="2EE8F982" w14:textId="77777777" w:rsidR="0022709A" w:rsidRDefault="0022709A" w:rsidP="00601176">
      <w:pPr>
        <w:spacing w:after="0" w:line="240" w:lineRule="auto"/>
      </w:pPr>
      <w:r>
        <w:continuationSeparator/>
      </w:r>
    </w:p>
  </w:footnote>
  <w:footnote w:type="continuationNotice" w:id="1">
    <w:p w14:paraId="5EA57A6A" w14:textId="77777777" w:rsidR="0022709A" w:rsidRDefault="002270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0CD5" w14:textId="6A3F4586" w:rsidR="00601176" w:rsidRDefault="00AC31D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D68FAA" wp14:editId="53D695D7">
          <wp:simplePos x="0" y="0"/>
          <wp:positionH relativeFrom="column">
            <wp:posOffset>-725805</wp:posOffset>
          </wp:positionH>
          <wp:positionV relativeFrom="paragraph">
            <wp:posOffset>-252095</wp:posOffset>
          </wp:positionV>
          <wp:extent cx="7228840" cy="98679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4A3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B27B2"/>
    <w:multiLevelType w:val="hybridMultilevel"/>
    <w:tmpl w:val="0C100010"/>
    <w:lvl w:ilvl="0" w:tplc="DB1A1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A6887"/>
    <w:multiLevelType w:val="hybridMultilevel"/>
    <w:tmpl w:val="270EB1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76"/>
    <w:rsid w:val="000221F7"/>
    <w:rsid w:val="0003223F"/>
    <w:rsid w:val="00037CA6"/>
    <w:rsid w:val="00077CFB"/>
    <w:rsid w:val="00093B00"/>
    <w:rsid w:val="000B6661"/>
    <w:rsid w:val="000D7F82"/>
    <w:rsid w:val="000F3C8E"/>
    <w:rsid w:val="000F601D"/>
    <w:rsid w:val="001474F1"/>
    <w:rsid w:val="00172C49"/>
    <w:rsid w:val="00173FA8"/>
    <w:rsid w:val="001D26F8"/>
    <w:rsid w:val="0022709A"/>
    <w:rsid w:val="002326B6"/>
    <w:rsid w:val="00270DD4"/>
    <w:rsid w:val="002D7CAC"/>
    <w:rsid w:val="002E1C1D"/>
    <w:rsid w:val="003049E8"/>
    <w:rsid w:val="003070AC"/>
    <w:rsid w:val="00351AB1"/>
    <w:rsid w:val="00356D60"/>
    <w:rsid w:val="00361D62"/>
    <w:rsid w:val="0039513B"/>
    <w:rsid w:val="003A4EA9"/>
    <w:rsid w:val="004269E0"/>
    <w:rsid w:val="00497E08"/>
    <w:rsid w:val="004C710A"/>
    <w:rsid w:val="004D4589"/>
    <w:rsid w:val="004D6AEE"/>
    <w:rsid w:val="005060C3"/>
    <w:rsid w:val="00534732"/>
    <w:rsid w:val="00546D93"/>
    <w:rsid w:val="00563075"/>
    <w:rsid w:val="00575AE3"/>
    <w:rsid w:val="005A5CFA"/>
    <w:rsid w:val="005A7F21"/>
    <w:rsid w:val="00601176"/>
    <w:rsid w:val="00623E43"/>
    <w:rsid w:val="0063779C"/>
    <w:rsid w:val="0064279E"/>
    <w:rsid w:val="00644D95"/>
    <w:rsid w:val="00650C94"/>
    <w:rsid w:val="00662C04"/>
    <w:rsid w:val="006665AD"/>
    <w:rsid w:val="00671DCD"/>
    <w:rsid w:val="006D2DA2"/>
    <w:rsid w:val="006E2CBD"/>
    <w:rsid w:val="006E6B5D"/>
    <w:rsid w:val="00731B3F"/>
    <w:rsid w:val="007518B1"/>
    <w:rsid w:val="00886432"/>
    <w:rsid w:val="008F48E4"/>
    <w:rsid w:val="008F52B9"/>
    <w:rsid w:val="0096419B"/>
    <w:rsid w:val="00990BAB"/>
    <w:rsid w:val="00997939"/>
    <w:rsid w:val="009A1450"/>
    <w:rsid w:val="00A578E8"/>
    <w:rsid w:val="00AA1D2F"/>
    <w:rsid w:val="00AC31D6"/>
    <w:rsid w:val="00B355A3"/>
    <w:rsid w:val="00B6062B"/>
    <w:rsid w:val="00B661A9"/>
    <w:rsid w:val="00BE2828"/>
    <w:rsid w:val="00BF549E"/>
    <w:rsid w:val="00CA3A64"/>
    <w:rsid w:val="00CB61CA"/>
    <w:rsid w:val="00CC759B"/>
    <w:rsid w:val="00CE30A3"/>
    <w:rsid w:val="00CE45F6"/>
    <w:rsid w:val="00D1387D"/>
    <w:rsid w:val="00D230F3"/>
    <w:rsid w:val="00D26C2C"/>
    <w:rsid w:val="00D37FF9"/>
    <w:rsid w:val="00D775A1"/>
    <w:rsid w:val="00D8647C"/>
    <w:rsid w:val="00DF134A"/>
    <w:rsid w:val="00E25C71"/>
    <w:rsid w:val="00EB5FA3"/>
    <w:rsid w:val="00EF5C47"/>
    <w:rsid w:val="00F50F6E"/>
    <w:rsid w:val="00F657CA"/>
    <w:rsid w:val="00FB417B"/>
    <w:rsid w:val="00FB582A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A53DE8D"/>
  <w15:docId w15:val="{F5B12351-F7ED-4D8B-B96A-037535CC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64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1176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1176"/>
    <w:rPr>
      <w:rFonts w:ascii="Calibri" w:eastAsia="SimSun" w:hAnsi="Calibri" w:cs="Times New Roman"/>
      <w:lang w:eastAsia="zh-CN"/>
    </w:rPr>
  </w:style>
  <w:style w:type="character" w:styleId="Hyperlink">
    <w:name w:val="Hyperlink"/>
    <w:uiPriority w:val="99"/>
    <w:unhideWhenUsed/>
    <w:rsid w:val="006011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176"/>
    <w:rPr>
      <w:rFonts w:ascii="Segoe UI" w:eastAsia="SimSun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semiHidden/>
    <w:unhideWhenUsed/>
    <w:rsid w:val="00CA3A64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rsid w:val="00CA3A64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A3A6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A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A64"/>
    <w:rPr>
      <w:rFonts w:ascii="Calibri" w:eastAsia="SimSu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A64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A3A64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pr.mpe.qed.qld.gov.au/attachment/dual-enrolment-of-students-with-disability-in-state-and-non-state-school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qld.gov.au/students/students-with-disability/succeeding-with-disability/enrolment-criter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pr.det.qld.gov.au/education/management/Procedure%20Attachments/Enrolment%20in%20State%20Primary,%20Secondary%20and%20Special%20Schools/flowchart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pr.mpe.qed.qld.gov.au/attachment/dual-enrolment-of-students-with-disability-in-state-and-non-state-school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nrolment-in-state-primary-secondary-and-special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20/707818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2024-07-12T04:47:06+00:00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Steps associated with dual enrolment of students with disability between a state and non-state school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2024-07-12T04:54:59+00:00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2024-07-12T04:54:59+00:00</PPModeratedDate>
    <PPRBusinessUnit xmlns="http://schemas.microsoft.com/sharepoint/v3">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2021-02-02T00:44:15+00:00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Samantha Thorning, Principal Policy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20/707016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536C6-D230-49C4-B5DF-63B3DEC6B6B7}"/>
</file>

<file path=customXml/itemProps2.xml><?xml version="1.0" encoding="utf-8"?>
<ds:datastoreItem xmlns:ds="http://schemas.openxmlformats.org/officeDocument/2006/customXml" ds:itemID="{08FE528F-9CAA-4B70-B65D-847A2620FF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0ae35178-8cb0-44ef-85e4-9768d68ca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1CB93-7407-40E3-8E5F-ADB8DF4B4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2533</CharactersWithSpaces>
  <SharedDoc>false</SharedDoc>
  <HLinks>
    <vt:vector size="30" baseType="variant">
      <vt:variant>
        <vt:i4>3932215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Schools/Dual Enrolment - Disability.DOC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https://education.qld.gov.au/students/students-with-disability/succeeding-with-disability/enrolment-criteria</vt:lpwstr>
      </vt:variant>
      <vt:variant>
        <vt:lpwstr/>
      </vt:variant>
      <vt:variant>
        <vt:i4>262158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Schools/flowchart.PDF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Schools/Dual Enrolment - Disability.DOC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associated with dual enrolment of students with disability between a state and non-state school</dc:title>
  <dc:subject/>
  <dc:creator>BRADFORD, Astrid</dc:creator>
  <cp:keywords/>
  <cp:lastModifiedBy>WANT, Deb</cp:lastModifiedBy>
  <cp:revision>3</cp:revision>
  <cp:lastPrinted>2019-01-18T00:20:00Z</cp:lastPrinted>
  <dcterms:created xsi:type="dcterms:W3CDTF">2021-02-02T00:33:00Z</dcterms:created>
  <dcterms:modified xsi:type="dcterms:W3CDTF">2021-02-02T00:44:00Z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66600</vt:r8>
  </property>
</Properties>
</file>